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05" w:rsidRDefault="000A5105" w:rsidP="000A5105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0A5105" w:rsidRDefault="000A5105" w:rsidP="000A5105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МУНИЦИПАЛЬНЫХ ПРОГРАММ </w:t>
      </w:r>
      <w:r>
        <w:rPr>
          <w:rFonts w:ascii="Times New Roman" w:hAnsi="Times New Roman" w:cs="Times New Roman"/>
          <w:b/>
          <w:bCs/>
          <w:kern w:val="28"/>
        </w:rPr>
        <w:t>СЕЛЬСКОГО ПОСЕЛЕНИЯ</w:t>
      </w:r>
      <w:r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СОСНОВКА ЗА 2016 ГОД. </w:t>
      </w:r>
    </w:p>
    <w:p w:rsidR="000A5105" w:rsidRDefault="000A5105" w:rsidP="000A5105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ИТОГИ РЕАЛИЗАЦИИ МУНИЦИПАЛЬНЫХ ПРОГРАММ ЗА ПЕРИОД 2014-2016 ГОДЫ.</w:t>
      </w:r>
    </w:p>
    <w:p w:rsidR="00DE4267" w:rsidRPr="00F40A8D" w:rsidRDefault="00DE4267" w:rsidP="00F40A8D">
      <w:pPr>
        <w:ind w:hanging="30"/>
        <w:jc w:val="center"/>
        <w:rPr>
          <w:b/>
          <w:bCs/>
          <w:sz w:val="28"/>
          <w:szCs w:val="28"/>
        </w:rPr>
      </w:pPr>
    </w:p>
    <w:p w:rsidR="00F40A8D" w:rsidRPr="00F40A8D" w:rsidRDefault="00F40A8D" w:rsidP="00F40A8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40A8D" w:rsidRPr="00F40A8D" w:rsidRDefault="00F40A8D" w:rsidP="00F40A8D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40A8D">
        <w:rPr>
          <w:sz w:val="24"/>
          <w:szCs w:val="24"/>
        </w:rPr>
        <w:t>Оценка эффективности реализации муниципальных программ за 201</w:t>
      </w:r>
      <w:r w:rsidR="0036703E">
        <w:rPr>
          <w:sz w:val="24"/>
          <w:szCs w:val="24"/>
        </w:rPr>
        <w:t>6</w:t>
      </w:r>
      <w:r w:rsidRPr="00F40A8D">
        <w:rPr>
          <w:sz w:val="24"/>
          <w:szCs w:val="24"/>
        </w:rPr>
        <w:t xml:space="preserve"> год проведена в соответствии с Порядком проведения оценки эффективности реализации муниципальных программ городского и сельских поселений в границах Белоярского района, утвержденным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сельских поселений в границах Белоярского района» на основании ежегодных отчетов о</w:t>
      </w:r>
      <w:proofErr w:type="gramEnd"/>
      <w:r w:rsidRPr="00F40A8D">
        <w:rPr>
          <w:sz w:val="24"/>
          <w:szCs w:val="24"/>
        </w:rPr>
        <w:t xml:space="preserve"> реализации муниципальных программ, представляемых ответственными исполнителями.</w:t>
      </w:r>
    </w:p>
    <w:p w:rsidR="000A5105" w:rsidRDefault="00F40A8D" w:rsidP="000A510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40A8D">
        <w:rPr>
          <w:sz w:val="24"/>
          <w:szCs w:val="24"/>
        </w:rPr>
        <w:t xml:space="preserve">В процессе анализа была дана качественная характеристика реализации муниципальных программ </w:t>
      </w:r>
      <w:r w:rsidR="000A5105" w:rsidRPr="00397E3C">
        <w:rPr>
          <w:sz w:val="24"/>
          <w:szCs w:val="24"/>
        </w:rPr>
        <w:t xml:space="preserve">сельского поселения </w:t>
      </w:r>
      <w:r w:rsidR="000A5105">
        <w:rPr>
          <w:sz w:val="24"/>
          <w:szCs w:val="24"/>
        </w:rPr>
        <w:t xml:space="preserve">Сосновка </w:t>
      </w:r>
      <w:r w:rsidRPr="00F40A8D">
        <w:rPr>
          <w:sz w:val="24"/>
          <w:szCs w:val="24"/>
        </w:rPr>
        <w:t xml:space="preserve">по двум критериям: кассовое исполнение и достижение целевых показателей </w:t>
      </w:r>
      <w:r w:rsidR="000A5105">
        <w:rPr>
          <w:sz w:val="24"/>
          <w:szCs w:val="24"/>
        </w:rPr>
        <w:t>муниципальных программ</w:t>
      </w:r>
      <w:r w:rsidRPr="00F40A8D">
        <w:rPr>
          <w:sz w:val="24"/>
          <w:szCs w:val="24"/>
        </w:rPr>
        <w:t xml:space="preserve">. </w:t>
      </w:r>
      <w:proofErr w:type="gramStart"/>
      <w:r w:rsidR="000A5105" w:rsidRPr="00C42561">
        <w:rPr>
          <w:sz w:val="24"/>
          <w:szCs w:val="24"/>
        </w:rPr>
        <w:t>Последний</w:t>
      </w:r>
      <w:proofErr w:type="gramEnd"/>
      <w:r w:rsidR="000A5105" w:rsidRPr="00C42561">
        <w:rPr>
          <w:sz w:val="24"/>
          <w:szCs w:val="24"/>
        </w:rPr>
        <w:t xml:space="preserve"> является наиболее значимым.</w:t>
      </w:r>
    </w:p>
    <w:p w:rsidR="000A5105" w:rsidRDefault="000A5105" w:rsidP="00F40A8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5105" w:rsidRDefault="000A5105" w:rsidP="00F40A8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5105" w:rsidRDefault="000A5105" w:rsidP="000A5105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97E3C">
        <w:rPr>
          <w:sz w:val="24"/>
          <w:szCs w:val="24"/>
        </w:rPr>
        <w:t xml:space="preserve">а территории сельского поселения </w:t>
      </w:r>
      <w:r>
        <w:rPr>
          <w:sz w:val="24"/>
          <w:szCs w:val="24"/>
        </w:rPr>
        <w:t>Сосновка в период с 2014-2016 гг.</w:t>
      </w:r>
      <w:r w:rsidRPr="00397E3C">
        <w:rPr>
          <w:sz w:val="24"/>
          <w:szCs w:val="24"/>
        </w:rPr>
        <w:t xml:space="preserve"> действовало 3 муниципальны</w:t>
      </w:r>
      <w:r>
        <w:rPr>
          <w:sz w:val="24"/>
          <w:szCs w:val="24"/>
        </w:rPr>
        <w:t>е</w:t>
      </w:r>
      <w:r w:rsidRPr="00397E3C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0A5105" w:rsidRDefault="000A5105" w:rsidP="000A5105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5105" w:rsidRDefault="000A5105" w:rsidP="000A5105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5105" w:rsidRDefault="000A5105" w:rsidP="000A5105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7615"/>
      </w:tblGrid>
      <w:tr w:rsidR="000A5105" w:rsidTr="00B87F25">
        <w:tc>
          <w:tcPr>
            <w:tcW w:w="1956" w:type="dxa"/>
          </w:tcPr>
          <w:p w:rsidR="000A5105" w:rsidRDefault="000A5105" w:rsidP="00B87F2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3A3457" wp14:editId="2BF6C08D">
                  <wp:extent cx="1009650" cy="1009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613_html_5a174b9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011851" cy="1011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5" w:type="dxa"/>
          </w:tcPr>
          <w:p w:rsidR="000A5105" w:rsidRDefault="000A5105" w:rsidP="00B87F2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2F44">
              <w:rPr>
                <w:b/>
                <w:i/>
                <w:sz w:val="28"/>
                <w:szCs w:val="28"/>
              </w:rPr>
              <w:t>«Защита населения от чрезвычайных ситуаций, обеспечение первичных мер пожарной безопасности и безопасности людей на водных объектах на 2014-2016 годы»</w:t>
            </w:r>
          </w:p>
        </w:tc>
      </w:tr>
    </w:tbl>
    <w:p w:rsidR="000A5105" w:rsidRDefault="000A5105" w:rsidP="000A5105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5105" w:rsidRDefault="000A5105" w:rsidP="000A5105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5105" w:rsidRDefault="000A5105" w:rsidP="000A5105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0A5105" w:rsidTr="00B87F25">
        <w:tc>
          <w:tcPr>
            <w:tcW w:w="1951" w:type="dxa"/>
          </w:tcPr>
          <w:p w:rsidR="000A5105" w:rsidRDefault="000A5105" w:rsidP="00B87F25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45BDFC" wp14:editId="72964170">
                  <wp:extent cx="1076325" cy="9620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07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27" cy="96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0A5105" w:rsidRPr="00252F44" w:rsidRDefault="000A5105" w:rsidP="00B87F25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252F44">
              <w:rPr>
                <w:b/>
                <w:i/>
                <w:sz w:val="28"/>
                <w:szCs w:val="28"/>
              </w:rPr>
              <w:t>«Развитие жилищно-коммунального комплекса и повышение энергетической эффективности</w:t>
            </w:r>
            <w:r w:rsidRPr="00252F44">
              <w:rPr>
                <w:b/>
                <w:bCs/>
                <w:i/>
                <w:sz w:val="28"/>
                <w:szCs w:val="28"/>
              </w:rPr>
              <w:t xml:space="preserve"> на 2014 - 2016 годы</w:t>
            </w:r>
            <w:r w:rsidRPr="00252F44">
              <w:rPr>
                <w:b/>
                <w:i/>
                <w:sz w:val="28"/>
                <w:szCs w:val="28"/>
              </w:rPr>
              <w:t>»</w:t>
            </w:r>
          </w:p>
          <w:p w:rsidR="000A5105" w:rsidRDefault="000A5105" w:rsidP="00B87F25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0A5105" w:rsidRDefault="000A5105" w:rsidP="000A5105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</w:p>
    <w:p w:rsidR="000A5105" w:rsidRDefault="000A5105" w:rsidP="000A5105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</w:p>
    <w:p w:rsidR="000A5105" w:rsidRPr="00252F44" w:rsidRDefault="000A5105" w:rsidP="000A5105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0A5105" w:rsidTr="00B87F25">
        <w:tc>
          <w:tcPr>
            <w:tcW w:w="1951" w:type="dxa"/>
          </w:tcPr>
          <w:p w:rsidR="000A5105" w:rsidRDefault="000A5105" w:rsidP="00B87F2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PT Sans" w:hAnsi="PT Sans" w:cs="Arial"/>
                <w:noProof/>
                <w:color w:val="225E91"/>
                <w:sz w:val="21"/>
                <w:szCs w:val="21"/>
                <w:lang w:eastAsia="ru-RU"/>
              </w:rPr>
              <w:drawing>
                <wp:inline distT="0" distB="0" distL="0" distR="0" wp14:anchorId="09595E2D" wp14:editId="447E9AD2">
                  <wp:extent cx="1076325" cy="990600"/>
                  <wp:effectExtent l="0" t="0" r="0" b="0"/>
                  <wp:docPr id="10" name="Рисунок 10" descr="http://admkazym.ru/local/codenails/images/logo_mai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kazym.ru/local/codenails/images/logo_main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0A5105" w:rsidRDefault="000A5105" w:rsidP="00B87F25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0A5105" w:rsidRPr="00252F44" w:rsidRDefault="000A5105" w:rsidP="00B87F25">
            <w:pPr>
              <w:pStyle w:val="3"/>
              <w:spacing w:after="0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252F44">
              <w:rPr>
                <w:b/>
                <w:i/>
                <w:sz w:val="28"/>
                <w:szCs w:val="28"/>
              </w:rPr>
              <w:t xml:space="preserve">«Развитие муниципальной службы сельского поселения </w:t>
            </w:r>
            <w:r>
              <w:rPr>
                <w:b/>
                <w:i/>
                <w:sz w:val="28"/>
                <w:szCs w:val="28"/>
              </w:rPr>
              <w:t>Сосновка</w:t>
            </w:r>
            <w:r w:rsidRPr="00252F44">
              <w:rPr>
                <w:b/>
                <w:i/>
                <w:sz w:val="28"/>
                <w:szCs w:val="28"/>
              </w:rPr>
              <w:t xml:space="preserve"> на 2014-2016 годы»</w:t>
            </w:r>
          </w:p>
          <w:p w:rsidR="000A5105" w:rsidRDefault="000A5105" w:rsidP="00B87F2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00E63" w:rsidRDefault="00F00E63" w:rsidP="00F40A8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00E63" w:rsidRDefault="00F00E63" w:rsidP="00F40A8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00E63" w:rsidRDefault="00F00E63" w:rsidP="00F40A8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00E63" w:rsidRDefault="00F00E63" w:rsidP="00F40A8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00E63" w:rsidRDefault="00F00E63" w:rsidP="00F40A8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5105" w:rsidRDefault="000A5105" w:rsidP="000A5105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Оценка эффективности реализации муниципальных программ                 за 2016 год</w:t>
      </w:r>
    </w:p>
    <w:p w:rsidR="001F5AA7" w:rsidRPr="001F5AA7" w:rsidRDefault="001F5AA7" w:rsidP="001F5AA7">
      <w:pPr>
        <w:pStyle w:val="a6"/>
        <w:rPr>
          <w:lang w:eastAsia="en-US"/>
        </w:rPr>
      </w:pPr>
    </w:p>
    <w:p w:rsidR="00E67088" w:rsidRPr="00F00E63" w:rsidRDefault="001F5AA7" w:rsidP="00E67088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67088" w:rsidRPr="00F00E63">
        <w:rPr>
          <w:b/>
          <w:sz w:val="24"/>
          <w:szCs w:val="24"/>
        </w:rPr>
        <w:t>Муниципальная программа сельского поселения Сосновка «Защита населения от чрезвычайных ситуаций, обеспечение первичных мер пожарной безопасности и безопасности людей на водных объектах на 2014-2016 годы»</w:t>
      </w:r>
    </w:p>
    <w:p w:rsidR="00F00E63" w:rsidRDefault="00F00E63" w:rsidP="00F40A8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67088" w:rsidRDefault="00E67088" w:rsidP="00E6708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00E63">
        <w:rPr>
          <w:sz w:val="24"/>
          <w:szCs w:val="24"/>
        </w:rPr>
        <w:t>Целью муниципальной программы является повышение уровня защиты населения и территории сельского поселения Сосновка от угроз природного и техногенного характера, а также обеспечение первичных мер пожарной безопасности.</w:t>
      </w:r>
    </w:p>
    <w:p w:rsidR="001F03D7" w:rsidRPr="00CC7545" w:rsidRDefault="001F03D7" w:rsidP="001F03D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C7545">
        <w:rPr>
          <w:sz w:val="24"/>
          <w:szCs w:val="24"/>
        </w:rPr>
        <w:t xml:space="preserve">Освоение средств бюджета сельского поселения </w:t>
      </w:r>
      <w:r>
        <w:rPr>
          <w:sz w:val="24"/>
          <w:szCs w:val="24"/>
        </w:rPr>
        <w:t>Сосновка в 2016 году</w:t>
      </w:r>
      <w:r w:rsidRPr="00CC7545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>61</w:t>
      </w:r>
      <w:r w:rsidRPr="00CC7545">
        <w:rPr>
          <w:sz w:val="24"/>
          <w:szCs w:val="24"/>
        </w:rPr>
        <w:t>,0 тыс. руб., что составляет 100% от утвержденных лимитов, достижение целевых показателей муниципальной программы 100%.</w:t>
      </w:r>
    </w:p>
    <w:p w:rsidR="00E67088" w:rsidRDefault="001F03D7" w:rsidP="001F03D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B03CE">
        <w:t>В рамках программы в 2016 году проведены следующие мероприятия:</w:t>
      </w:r>
      <w:r>
        <w:rPr>
          <w:b/>
          <w:bCs/>
          <w:sz w:val="28"/>
          <w:szCs w:val="28"/>
        </w:rPr>
        <w:t xml:space="preserve"> </w:t>
      </w:r>
    </w:p>
    <w:p w:rsidR="00E67088" w:rsidRDefault="00E67088" w:rsidP="001F03D7">
      <w:pPr>
        <w:pStyle w:val="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0A5105">
        <w:rPr>
          <w:sz w:val="24"/>
          <w:szCs w:val="24"/>
        </w:rPr>
        <w:t>Заключены договора с</w:t>
      </w:r>
      <w:r w:rsidR="001F03D7">
        <w:rPr>
          <w:sz w:val="24"/>
          <w:szCs w:val="24"/>
        </w:rPr>
        <w:t xml:space="preserve"> </w:t>
      </w:r>
      <w:r w:rsidRPr="000A5105">
        <w:rPr>
          <w:sz w:val="24"/>
          <w:szCs w:val="24"/>
        </w:rPr>
        <w:t>ООО "</w:t>
      </w:r>
      <w:proofErr w:type="spellStart"/>
      <w:r w:rsidRPr="000A5105">
        <w:rPr>
          <w:sz w:val="24"/>
          <w:szCs w:val="24"/>
        </w:rPr>
        <w:t>Рентэкс</w:t>
      </w:r>
      <w:proofErr w:type="spellEnd"/>
      <w:r w:rsidRPr="000A5105">
        <w:rPr>
          <w:sz w:val="24"/>
          <w:szCs w:val="24"/>
        </w:rPr>
        <w:t xml:space="preserve">" на выполнение работ по опашке минерализованной полосы; </w:t>
      </w:r>
      <w:r w:rsidR="00D91BC1">
        <w:rPr>
          <w:sz w:val="24"/>
          <w:szCs w:val="24"/>
        </w:rPr>
        <w:t xml:space="preserve">с </w:t>
      </w:r>
      <w:r w:rsidRPr="000A5105">
        <w:rPr>
          <w:sz w:val="24"/>
          <w:szCs w:val="24"/>
        </w:rPr>
        <w:t>АУ "БИЦ "Квадрат" на изготовление информационного материала</w:t>
      </w:r>
    </w:p>
    <w:p w:rsidR="00E67088" w:rsidRDefault="00E67088" w:rsidP="001F03D7">
      <w:pPr>
        <w:pStyle w:val="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proofErr w:type="gramStart"/>
      <w:r w:rsidRPr="000A5105">
        <w:rPr>
          <w:sz w:val="24"/>
          <w:szCs w:val="24"/>
        </w:rPr>
        <w:t>согласно номенклатуры</w:t>
      </w:r>
      <w:proofErr w:type="gramEnd"/>
      <w:r w:rsidRPr="000A5105">
        <w:rPr>
          <w:sz w:val="24"/>
          <w:szCs w:val="24"/>
        </w:rPr>
        <w:t xml:space="preserve"> резерва материальных ресурсов были приобретены: 2 умывальника; термос 12л.; свечи </w:t>
      </w:r>
      <w:r>
        <w:rPr>
          <w:sz w:val="24"/>
          <w:szCs w:val="24"/>
        </w:rPr>
        <w:t>хозяйственные; кухонная утварь; лом</w:t>
      </w:r>
    </w:p>
    <w:p w:rsidR="001F5AA7" w:rsidRDefault="001F5AA7" w:rsidP="001F5AA7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1F5AA7" w:rsidRPr="00C15A74" w:rsidRDefault="001F5AA7" w:rsidP="001F5AA7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C15A74">
        <w:rPr>
          <w:b/>
          <w:sz w:val="24"/>
          <w:szCs w:val="24"/>
        </w:rPr>
        <w:t>Муниципальная программа сельского поселения</w:t>
      </w:r>
      <w:r>
        <w:rPr>
          <w:b/>
          <w:sz w:val="24"/>
          <w:szCs w:val="24"/>
        </w:rPr>
        <w:t xml:space="preserve"> Сосновка </w:t>
      </w:r>
      <w:r w:rsidRPr="00C15A74">
        <w:rPr>
          <w:b/>
          <w:sz w:val="24"/>
          <w:szCs w:val="24"/>
        </w:rPr>
        <w:t xml:space="preserve">признана эффективной и имеет оценку «отлично». Реализация предусмотренных мероприятий, дает возможность совершенствовать системы предупреждения и защиты населения сельского поселения </w:t>
      </w:r>
      <w:r>
        <w:rPr>
          <w:b/>
          <w:sz w:val="24"/>
          <w:szCs w:val="24"/>
        </w:rPr>
        <w:t>Сосновка</w:t>
      </w:r>
      <w:r w:rsidRPr="00C15A74">
        <w:rPr>
          <w:b/>
          <w:sz w:val="24"/>
          <w:szCs w:val="24"/>
        </w:rPr>
        <w:t xml:space="preserve"> от чрезвычайных ситуаций природного и техногенного характера.</w:t>
      </w:r>
    </w:p>
    <w:p w:rsidR="001F5AA7" w:rsidRDefault="001F5AA7" w:rsidP="001F5AA7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1F5AA7" w:rsidRDefault="001F5AA7" w:rsidP="001F5AA7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364D9F">
        <w:rPr>
          <w:b/>
          <w:sz w:val="24"/>
          <w:szCs w:val="24"/>
        </w:rPr>
        <w:t>2. Муниципальная программа сельского поселения Сосновка «Развитие жилищно-коммунального комплекса и повышение энергетической эффективности  на 2014-2016 годы»</w:t>
      </w:r>
    </w:p>
    <w:p w:rsidR="00575D0A" w:rsidRDefault="00575D0A" w:rsidP="001F5AA7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5B0ACF" w:rsidRPr="001F03D7" w:rsidRDefault="00575D0A" w:rsidP="001F5AA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F03D7">
        <w:rPr>
          <w:sz w:val="24"/>
          <w:szCs w:val="24"/>
        </w:rPr>
        <w:t>Общий объем финансирования мероприятий программы в 2016 году составил          5 358,6 тыс. руб., фактическое исполнение составило 5 163,9 тыс. руб., что составляет   96,4 % от утвержденных годовых лимитов.</w:t>
      </w:r>
      <w:r w:rsidR="001F03D7" w:rsidRPr="001F03D7">
        <w:t xml:space="preserve"> </w:t>
      </w:r>
      <w:r w:rsidR="001F03D7">
        <w:rPr>
          <w:sz w:val="24"/>
          <w:szCs w:val="24"/>
        </w:rPr>
        <w:t>Д</w:t>
      </w:r>
      <w:r w:rsidR="001F03D7" w:rsidRPr="00CC7545">
        <w:rPr>
          <w:sz w:val="24"/>
          <w:szCs w:val="24"/>
        </w:rPr>
        <w:t>остижение целевых показателей муниципальной программы 10</w:t>
      </w:r>
      <w:r w:rsidR="001F03D7">
        <w:rPr>
          <w:sz w:val="24"/>
          <w:szCs w:val="24"/>
        </w:rPr>
        <w:t xml:space="preserve">2,2 </w:t>
      </w:r>
      <w:r w:rsidR="001F03D7" w:rsidRPr="00CC7545">
        <w:rPr>
          <w:sz w:val="24"/>
          <w:szCs w:val="24"/>
        </w:rPr>
        <w:t>%</w:t>
      </w:r>
      <w:r w:rsidR="001F03D7">
        <w:rPr>
          <w:sz w:val="24"/>
          <w:szCs w:val="24"/>
        </w:rPr>
        <w:t xml:space="preserve"> показатель удалось перевыполнить за счет </w:t>
      </w:r>
      <w:proofErr w:type="gramStart"/>
      <w:r w:rsidR="001F03D7">
        <w:rPr>
          <w:sz w:val="24"/>
          <w:szCs w:val="24"/>
        </w:rPr>
        <w:t>снижения о</w:t>
      </w:r>
      <w:r w:rsidR="001F03D7" w:rsidRPr="001F03D7">
        <w:rPr>
          <w:sz w:val="24"/>
          <w:szCs w:val="24"/>
        </w:rPr>
        <w:t>бъем</w:t>
      </w:r>
      <w:r w:rsidR="001F03D7">
        <w:rPr>
          <w:sz w:val="24"/>
          <w:szCs w:val="24"/>
        </w:rPr>
        <w:t>а</w:t>
      </w:r>
      <w:r w:rsidR="001F03D7" w:rsidRPr="001F03D7">
        <w:rPr>
          <w:sz w:val="24"/>
          <w:szCs w:val="24"/>
        </w:rPr>
        <w:t xml:space="preserve"> потребления электроэнергии сети уличного освещения</w:t>
      </w:r>
      <w:proofErr w:type="gramEnd"/>
      <w:r w:rsidR="001F03D7">
        <w:rPr>
          <w:sz w:val="24"/>
          <w:szCs w:val="24"/>
        </w:rPr>
        <w:t>.</w:t>
      </w:r>
    </w:p>
    <w:p w:rsidR="00575D0A" w:rsidRPr="001F03D7" w:rsidRDefault="00575D0A" w:rsidP="001F5AA7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1F5AA7" w:rsidRPr="001F03D7" w:rsidRDefault="005B0ACF" w:rsidP="001F5AA7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F03D7">
        <w:rPr>
          <w:sz w:val="24"/>
          <w:szCs w:val="24"/>
        </w:rPr>
        <w:t>Цель программы развитие жилищно-коммунального комплекса и повышение энергетической эффективности в сельском поселении Сосновка</w:t>
      </w:r>
    </w:p>
    <w:p w:rsidR="001F5AA7" w:rsidRPr="001F03D7" w:rsidRDefault="00575D0A" w:rsidP="001F5AA7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3D7">
        <w:rPr>
          <w:sz w:val="24"/>
          <w:szCs w:val="24"/>
        </w:rPr>
        <w:t xml:space="preserve">Для достижения цели по повышению энергетической эффективности </w:t>
      </w:r>
      <w:r w:rsidR="001F5AA7" w:rsidRPr="001F03D7">
        <w:rPr>
          <w:sz w:val="24"/>
          <w:szCs w:val="24"/>
        </w:rPr>
        <w:t xml:space="preserve">проведены работы по ТО и </w:t>
      </w:r>
      <w:proofErr w:type="gramStart"/>
      <w:r w:rsidR="001F5AA7" w:rsidRPr="001F03D7">
        <w:rPr>
          <w:sz w:val="24"/>
          <w:szCs w:val="24"/>
        </w:rPr>
        <w:t>ТР</w:t>
      </w:r>
      <w:proofErr w:type="gramEnd"/>
      <w:r w:rsidR="001F5AA7" w:rsidRPr="001F03D7">
        <w:rPr>
          <w:sz w:val="24"/>
          <w:szCs w:val="24"/>
        </w:rPr>
        <w:t xml:space="preserve"> электрооборудования, согласно заключенного договора с АО "</w:t>
      </w:r>
      <w:proofErr w:type="spellStart"/>
      <w:r w:rsidR="001F5AA7" w:rsidRPr="001F03D7">
        <w:rPr>
          <w:sz w:val="24"/>
          <w:szCs w:val="24"/>
        </w:rPr>
        <w:t>Газпромэлектрогаз</w:t>
      </w:r>
      <w:proofErr w:type="spellEnd"/>
      <w:r w:rsidR="001F5AA7" w:rsidRPr="001F03D7">
        <w:rPr>
          <w:sz w:val="24"/>
          <w:szCs w:val="24"/>
        </w:rPr>
        <w:t>"</w:t>
      </w:r>
    </w:p>
    <w:p w:rsidR="00575D0A" w:rsidRPr="001F03D7" w:rsidRDefault="00575D0A" w:rsidP="001F5AA7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3D7">
        <w:rPr>
          <w:sz w:val="24"/>
          <w:szCs w:val="24"/>
        </w:rPr>
        <w:t xml:space="preserve">Для достижения цели по развитию жилищно-коммунального комплекса, были проведены следующие мероприятия: </w:t>
      </w:r>
    </w:p>
    <w:p w:rsidR="001F5AA7" w:rsidRPr="001F03D7" w:rsidRDefault="001F03D7" w:rsidP="00575D0A">
      <w:pPr>
        <w:pStyle w:val="3"/>
        <w:numPr>
          <w:ilvl w:val="0"/>
          <w:numId w:val="9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1F03D7">
        <w:rPr>
          <w:sz w:val="24"/>
          <w:szCs w:val="24"/>
        </w:rPr>
        <w:t>з</w:t>
      </w:r>
      <w:r w:rsidR="00575D0A" w:rsidRPr="001F03D7">
        <w:rPr>
          <w:sz w:val="24"/>
          <w:szCs w:val="24"/>
        </w:rPr>
        <w:t>аключены договора на</w:t>
      </w:r>
      <w:r w:rsidR="00AF6068" w:rsidRPr="001F03D7">
        <w:rPr>
          <w:sz w:val="24"/>
          <w:szCs w:val="24"/>
        </w:rPr>
        <w:t xml:space="preserve">  тех.</w:t>
      </w:r>
      <w:r w:rsidR="00D91BC1">
        <w:rPr>
          <w:sz w:val="24"/>
          <w:szCs w:val="24"/>
        </w:rPr>
        <w:t xml:space="preserve"> </w:t>
      </w:r>
      <w:r w:rsidR="00AF6068" w:rsidRPr="001F03D7">
        <w:rPr>
          <w:sz w:val="24"/>
          <w:szCs w:val="24"/>
        </w:rPr>
        <w:t>обслуживание уличных электросетей, подачу электро</w:t>
      </w:r>
      <w:r w:rsidRPr="001F03D7">
        <w:rPr>
          <w:sz w:val="24"/>
          <w:szCs w:val="24"/>
        </w:rPr>
        <w:t>энергии для уличного освещения.</w:t>
      </w:r>
      <w:r w:rsidR="00575D0A" w:rsidRPr="001F03D7">
        <w:rPr>
          <w:sz w:val="24"/>
          <w:szCs w:val="24"/>
        </w:rPr>
        <w:t xml:space="preserve"> </w:t>
      </w:r>
      <w:r w:rsidRPr="001F03D7">
        <w:rPr>
          <w:sz w:val="24"/>
          <w:szCs w:val="24"/>
        </w:rPr>
        <w:t>М</w:t>
      </w:r>
      <w:r w:rsidR="001F5AA7" w:rsidRPr="001F03D7">
        <w:rPr>
          <w:sz w:val="24"/>
          <w:szCs w:val="24"/>
        </w:rPr>
        <w:t>ероприятия</w:t>
      </w:r>
      <w:r w:rsidRPr="001F03D7">
        <w:rPr>
          <w:sz w:val="24"/>
          <w:szCs w:val="24"/>
        </w:rPr>
        <w:t>,</w:t>
      </w:r>
      <w:r w:rsidR="001F5AA7" w:rsidRPr="001F03D7">
        <w:rPr>
          <w:sz w:val="24"/>
          <w:szCs w:val="24"/>
        </w:rPr>
        <w:t xml:space="preserve"> предусмотренные муниципальной программой на год</w:t>
      </w:r>
      <w:r w:rsidRPr="001F03D7">
        <w:rPr>
          <w:sz w:val="24"/>
          <w:szCs w:val="24"/>
        </w:rPr>
        <w:t>,</w:t>
      </w:r>
      <w:r w:rsidR="001F5AA7" w:rsidRPr="001F03D7">
        <w:rPr>
          <w:sz w:val="24"/>
          <w:szCs w:val="24"/>
        </w:rPr>
        <w:t xml:space="preserve"> исполнены в полном объеме. Средства не освоены, в связи с переносом сроков окончательного расчета за текущий год в январе 2017 года</w:t>
      </w:r>
      <w:r w:rsidRPr="001F03D7">
        <w:rPr>
          <w:sz w:val="24"/>
          <w:szCs w:val="24"/>
        </w:rPr>
        <w:t>;</w:t>
      </w:r>
    </w:p>
    <w:p w:rsidR="001F5AA7" w:rsidRPr="001F03D7" w:rsidRDefault="001F5AA7" w:rsidP="00575D0A">
      <w:pPr>
        <w:pStyle w:val="3"/>
        <w:numPr>
          <w:ilvl w:val="0"/>
          <w:numId w:val="9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1F03D7">
        <w:rPr>
          <w:sz w:val="24"/>
          <w:szCs w:val="24"/>
        </w:rPr>
        <w:t>произведена закупка саженцев, кустарников, удобрений; отремонтированы городские клумбы; пикированы и высажены кустарники и рассада цветов; покос и уборка травы</w:t>
      </w:r>
      <w:r w:rsidR="001F03D7" w:rsidRPr="001F03D7">
        <w:rPr>
          <w:sz w:val="24"/>
          <w:szCs w:val="24"/>
        </w:rPr>
        <w:t>;</w:t>
      </w:r>
    </w:p>
    <w:p w:rsidR="001F5AA7" w:rsidRPr="001F03D7" w:rsidRDefault="001F5AA7" w:rsidP="00575D0A">
      <w:pPr>
        <w:pStyle w:val="3"/>
        <w:numPr>
          <w:ilvl w:val="0"/>
          <w:numId w:val="9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1F03D7">
        <w:rPr>
          <w:sz w:val="24"/>
          <w:szCs w:val="24"/>
        </w:rPr>
        <w:t xml:space="preserve">приобретены и установлены уличные фонари; благоустроена придомовая территория проезда к введенному в эксплуатацию жилому дому; создана </w:t>
      </w:r>
      <w:r w:rsidRPr="001F03D7">
        <w:rPr>
          <w:sz w:val="24"/>
          <w:szCs w:val="24"/>
        </w:rPr>
        <w:lastRenderedPageBreak/>
        <w:t>центральная площадь сельского поселения. Средства не освоены, с связи с  вводом  жилых домов в эксплуатацию в зимний период, и переносом сроком  благоустройства территорий на весенн</w:t>
      </w:r>
      <w:proofErr w:type="gramStart"/>
      <w:r w:rsidRPr="001F03D7">
        <w:rPr>
          <w:sz w:val="24"/>
          <w:szCs w:val="24"/>
        </w:rPr>
        <w:t>е-</w:t>
      </w:r>
      <w:proofErr w:type="gramEnd"/>
      <w:r w:rsidRPr="001F03D7">
        <w:rPr>
          <w:sz w:val="24"/>
          <w:szCs w:val="24"/>
        </w:rPr>
        <w:t xml:space="preserve"> летний период 2017 года</w:t>
      </w:r>
      <w:r w:rsidR="001F03D7" w:rsidRPr="001F03D7">
        <w:rPr>
          <w:sz w:val="24"/>
          <w:szCs w:val="24"/>
        </w:rPr>
        <w:t>;</w:t>
      </w:r>
    </w:p>
    <w:p w:rsidR="001F5AA7" w:rsidRPr="001F03D7" w:rsidRDefault="001F5AA7" w:rsidP="00575D0A">
      <w:pPr>
        <w:pStyle w:val="3"/>
        <w:numPr>
          <w:ilvl w:val="0"/>
          <w:numId w:val="9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1F03D7">
        <w:rPr>
          <w:sz w:val="24"/>
          <w:szCs w:val="24"/>
        </w:rPr>
        <w:t>заключено 58 договоров с МЦ "Спутник", из них 52 с несовершеннолетними в возрасте от 14 до 18 лет и 6 с гражданами, испытывающими трудности в поиске работы, на проведение общественных работ</w:t>
      </w:r>
      <w:r w:rsidR="001F03D7" w:rsidRPr="001F03D7">
        <w:rPr>
          <w:sz w:val="24"/>
          <w:szCs w:val="24"/>
        </w:rPr>
        <w:t>;</w:t>
      </w:r>
    </w:p>
    <w:p w:rsidR="001F03D7" w:rsidRPr="001F03D7" w:rsidRDefault="001F03D7" w:rsidP="001F03D7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1F03D7" w:rsidRDefault="001F03D7" w:rsidP="001F03D7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431D6D">
        <w:rPr>
          <w:b/>
          <w:sz w:val="24"/>
          <w:szCs w:val="24"/>
        </w:rPr>
        <w:t>Данная муниципальная программа сельского поселения имеет оценку «</w:t>
      </w:r>
      <w:r>
        <w:rPr>
          <w:b/>
          <w:sz w:val="24"/>
          <w:szCs w:val="24"/>
        </w:rPr>
        <w:t>хорош</w:t>
      </w:r>
      <w:r w:rsidRPr="00431D6D">
        <w:rPr>
          <w:b/>
          <w:sz w:val="24"/>
          <w:szCs w:val="24"/>
        </w:rPr>
        <w:t xml:space="preserve">о» по причине не </w:t>
      </w:r>
      <w:r w:rsidRPr="00B10F6B">
        <w:rPr>
          <w:b/>
          <w:sz w:val="24"/>
          <w:szCs w:val="24"/>
        </w:rPr>
        <w:t>освоения финансовых средств</w:t>
      </w:r>
      <w:r>
        <w:rPr>
          <w:b/>
          <w:sz w:val="24"/>
          <w:szCs w:val="24"/>
        </w:rPr>
        <w:t xml:space="preserve">, достижение по </w:t>
      </w:r>
      <w:r w:rsidRPr="00B10F6B">
        <w:rPr>
          <w:b/>
          <w:sz w:val="24"/>
          <w:szCs w:val="24"/>
        </w:rPr>
        <w:t>целевы</w:t>
      </w:r>
      <w:r>
        <w:rPr>
          <w:b/>
          <w:sz w:val="24"/>
          <w:szCs w:val="24"/>
        </w:rPr>
        <w:t>м</w:t>
      </w:r>
      <w:r w:rsidRPr="00B10F6B">
        <w:rPr>
          <w:b/>
          <w:sz w:val="24"/>
          <w:szCs w:val="24"/>
        </w:rPr>
        <w:t xml:space="preserve"> показател</w:t>
      </w:r>
      <w:r>
        <w:rPr>
          <w:b/>
          <w:sz w:val="24"/>
          <w:szCs w:val="24"/>
        </w:rPr>
        <w:t>ям на высоком уровне</w:t>
      </w:r>
      <w:r w:rsidRPr="00B10F6B">
        <w:rPr>
          <w:b/>
          <w:sz w:val="24"/>
          <w:szCs w:val="24"/>
        </w:rPr>
        <w:t>. Учитывая этот факт, ответственному исполнителю муниципальной программы – адм</w:t>
      </w:r>
      <w:r>
        <w:rPr>
          <w:b/>
          <w:sz w:val="24"/>
          <w:szCs w:val="24"/>
        </w:rPr>
        <w:t>инистрации сельского поселения Сосновка</w:t>
      </w:r>
      <w:r w:rsidRPr="00B10F6B">
        <w:rPr>
          <w:b/>
          <w:sz w:val="24"/>
          <w:szCs w:val="24"/>
        </w:rPr>
        <w:t>, необходимо тщательнее планировать объемы бюджетных ассигнований на реализацию мероприятий</w:t>
      </w:r>
    </w:p>
    <w:p w:rsidR="001F03D7" w:rsidRDefault="001F03D7" w:rsidP="001F5AA7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51203F" w:rsidRDefault="0051203F" w:rsidP="001F5AA7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51203F" w:rsidRDefault="0051203F" w:rsidP="0051203F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57578B">
        <w:rPr>
          <w:b/>
          <w:sz w:val="24"/>
          <w:szCs w:val="24"/>
        </w:rPr>
        <w:t xml:space="preserve">3. Муниципальная программа сельского поселения Сосновка «Развитие муниципальной службы сельского поселения Сосновка на 2014-2016 годы» </w:t>
      </w:r>
    </w:p>
    <w:p w:rsidR="00035279" w:rsidRDefault="00035279" w:rsidP="0051203F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51203F" w:rsidRDefault="0051203F" w:rsidP="0051203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7578B">
        <w:rPr>
          <w:sz w:val="24"/>
          <w:szCs w:val="24"/>
        </w:rPr>
        <w:t>Цель программы: создание условий для развития и совершенствования муниципальной службы в сельском поселении Сосновка и повышение эффективности муниципального управления.</w:t>
      </w:r>
    </w:p>
    <w:p w:rsidR="00035279" w:rsidRPr="0057578B" w:rsidRDefault="00035279" w:rsidP="00035279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035279" w:rsidRPr="00035279" w:rsidRDefault="00035279" w:rsidP="0003527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35279">
        <w:rPr>
          <w:sz w:val="24"/>
          <w:szCs w:val="24"/>
        </w:rPr>
        <w:t>Средства бюджета сельского поселения Сосновка в размере 63,3 тыс. рублей освоены на 100 % от утвержденных годовых лимитов.</w:t>
      </w:r>
    </w:p>
    <w:p w:rsidR="00035279" w:rsidRPr="00035279" w:rsidRDefault="00035279" w:rsidP="0003527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35279">
        <w:rPr>
          <w:sz w:val="24"/>
          <w:szCs w:val="24"/>
        </w:rPr>
        <w:t>В рамках муниципальной программы были предусмотрены следующие мероприятия:</w:t>
      </w:r>
    </w:p>
    <w:p w:rsidR="00035279" w:rsidRPr="00035279" w:rsidRDefault="00035279" w:rsidP="00035279">
      <w:pPr>
        <w:pStyle w:val="3"/>
        <w:numPr>
          <w:ilvl w:val="0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 w:rsidRPr="00035279">
        <w:rPr>
          <w:sz w:val="24"/>
          <w:szCs w:val="24"/>
        </w:rPr>
        <w:t>диспансеризации муниципальных служащих. Так за 2016 год соответствующими медицинскими услугами были охвачены 4 муниципальных служащих или 100% от запланированных показателей;</w:t>
      </w:r>
    </w:p>
    <w:p w:rsidR="00035279" w:rsidRPr="00035279" w:rsidRDefault="00035279" w:rsidP="00035279">
      <w:pPr>
        <w:pStyle w:val="3"/>
        <w:numPr>
          <w:ilvl w:val="0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 w:rsidRPr="00035279">
        <w:rPr>
          <w:sz w:val="24"/>
          <w:szCs w:val="24"/>
        </w:rPr>
        <w:t xml:space="preserve">курсы повышения квалификации. За отчетный период 3 муниципальных служащих повысили квалификацию по 5 направлениям, с получением свидетельства государственного образца. </w:t>
      </w:r>
    </w:p>
    <w:p w:rsidR="00035279" w:rsidRPr="00035279" w:rsidRDefault="00035279" w:rsidP="0003527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35279">
        <w:rPr>
          <w:sz w:val="24"/>
          <w:szCs w:val="24"/>
        </w:rPr>
        <w:t>В 2016 году достигнуты поставленные цели, выполнены запланированные</w:t>
      </w:r>
      <w:r w:rsidR="007D5B68">
        <w:rPr>
          <w:sz w:val="24"/>
          <w:szCs w:val="24"/>
        </w:rPr>
        <w:t xml:space="preserve"> </w:t>
      </w:r>
      <w:r w:rsidRPr="00035279">
        <w:rPr>
          <w:sz w:val="24"/>
          <w:szCs w:val="24"/>
        </w:rPr>
        <w:t>мероприятия, что свидетельствует об эффективной реализации муниципальной программы.</w:t>
      </w:r>
    </w:p>
    <w:p w:rsidR="00035279" w:rsidRPr="00035279" w:rsidRDefault="00035279" w:rsidP="0003527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35279" w:rsidRPr="00035279" w:rsidRDefault="00035279" w:rsidP="00035279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035279">
        <w:rPr>
          <w:b/>
          <w:sz w:val="24"/>
          <w:szCs w:val="24"/>
        </w:rPr>
        <w:t xml:space="preserve">Данная муниципальная программа сельского поселения Сосновка признана эффективной и имеет оценку «отлично». Реализация предусмотренных мероприятий, </w:t>
      </w:r>
    </w:p>
    <w:p w:rsidR="00035279" w:rsidRPr="00035279" w:rsidRDefault="00035279" w:rsidP="00035279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035279">
        <w:rPr>
          <w:b/>
          <w:sz w:val="24"/>
          <w:szCs w:val="24"/>
        </w:rPr>
        <w:t>позволяет создать условия для оптимального организационно-правового обеспечения   муниципальной службы  сельского поселения Сосновка.</w:t>
      </w:r>
    </w:p>
    <w:p w:rsidR="00035279" w:rsidRPr="00035279" w:rsidRDefault="00035279" w:rsidP="00035279">
      <w:pPr>
        <w:pStyle w:val="3"/>
        <w:ind w:left="0" w:firstLine="709"/>
        <w:jc w:val="both"/>
        <w:rPr>
          <w:sz w:val="24"/>
          <w:szCs w:val="24"/>
        </w:rPr>
      </w:pPr>
    </w:p>
    <w:p w:rsidR="00035279" w:rsidRPr="00035279" w:rsidRDefault="00035279" w:rsidP="00035279">
      <w:pPr>
        <w:pStyle w:val="3"/>
        <w:ind w:firstLine="709"/>
        <w:jc w:val="both"/>
        <w:rPr>
          <w:color w:val="FF0000"/>
          <w:sz w:val="24"/>
          <w:szCs w:val="24"/>
        </w:rPr>
      </w:pPr>
    </w:p>
    <w:p w:rsidR="00035279" w:rsidRPr="00035279" w:rsidRDefault="00035279" w:rsidP="00035279">
      <w:pPr>
        <w:pStyle w:val="3"/>
        <w:ind w:firstLine="709"/>
        <w:jc w:val="both"/>
        <w:rPr>
          <w:color w:val="FF0000"/>
          <w:sz w:val="24"/>
          <w:szCs w:val="24"/>
        </w:rPr>
      </w:pPr>
    </w:p>
    <w:p w:rsidR="00035279" w:rsidRDefault="00035279" w:rsidP="00035279">
      <w:pPr>
        <w:pStyle w:val="3"/>
        <w:ind w:firstLine="709"/>
        <w:jc w:val="both"/>
        <w:rPr>
          <w:color w:val="FF0000"/>
          <w:sz w:val="24"/>
          <w:szCs w:val="24"/>
        </w:rPr>
      </w:pPr>
    </w:p>
    <w:p w:rsidR="00D91BC1" w:rsidRDefault="00D91BC1" w:rsidP="00035279">
      <w:pPr>
        <w:pStyle w:val="3"/>
        <w:ind w:firstLine="709"/>
        <w:jc w:val="both"/>
        <w:rPr>
          <w:color w:val="FF0000"/>
          <w:sz w:val="24"/>
          <w:szCs w:val="24"/>
        </w:rPr>
      </w:pPr>
    </w:p>
    <w:p w:rsidR="00D91BC1" w:rsidRDefault="00D91BC1" w:rsidP="00035279">
      <w:pPr>
        <w:pStyle w:val="3"/>
        <w:ind w:firstLine="709"/>
        <w:jc w:val="both"/>
        <w:rPr>
          <w:color w:val="FF0000"/>
          <w:sz w:val="24"/>
          <w:szCs w:val="24"/>
        </w:rPr>
      </w:pPr>
    </w:p>
    <w:p w:rsidR="00D91BC1" w:rsidRDefault="00D91BC1" w:rsidP="00035279">
      <w:pPr>
        <w:pStyle w:val="3"/>
        <w:ind w:firstLine="709"/>
        <w:jc w:val="both"/>
        <w:rPr>
          <w:color w:val="FF0000"/>
          <w:sz w:val="24"/>
          <w:szCs w:val="24"/>
        </w:rPr>
      </w:pPr>
    </w:p>
    <w:p w:rsidR="00D91BC1" w:rsidRDefault="00D91BC1" w:rsidP="00035279">
      <w:pPr>
        <w:pStyle w:val="3"/>
        <w:ind w:firstLine="709"/>
        <w:jc w:val="both"/>
        <w:rPr>
          <w:color w:val="FF0000"/>
          <w:sz w:val="24"/>
          <w:szCs w:val="24"/>
        </w:rPr>
      </w:pPr>
    </w:p>
    <w:p w:rsidR="00D91BC1" w:rsidRPr="00035279" w:rsidRDefault="00D91BC1" w:rsidP="00035279">
      <w:pPr>
        <w:pStyle w:val="3"/>
        <w:ind w:firstLine="709"/>
        <w:jc w:val="both"/>
        <w:rPr>
          <w:color w:val="FF0000"/>
          <w:sz w:val="24"/>
          <w:szCs w:val="24"/>
        </w:rPr>
      </w:pPr>
    </w:p>
    <w:p w:rsidR="0051203F" w:rsidRDefault="0051203F" w:rsidP="0051203F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E67088" w:rsidRDefault="00E67088" w:rsidP="00E67088">
      <w:pPr>
        <w:pStyle w:val="3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F00E63" w:rsidRDefault="00E67088" w:rsidP="00E67088">
      <w:pPr>
        <w:pStyle w:val="3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E67088">
        <w:rPr>
          <w:b/>
          <w:bCs/>
          <w:sz w:val="28"/>
          <w:szCs w:val="28"/>
        </w:rPr>
        <w:t xml:space="preserve">Итоги реализации муниципальных программ за период </w:t>
      </w:r>
      <w:r>
        <w:rPr>
          <w:b/>
          <w:bCs/>
          <w:sz w:val="28"/>
          <w:szCs w:val="28"/>
        </w:rPr>
        <w:t xml:space="preserve">                 </w:t>
      </w:r>
      <w:r w:rsidRPr="00E67088">
        <w:rPr>
          <w:b/>
          <w:bCs/>
          <w:sz w:val="28"/>
          <w:szCs w:val="28"/>
        </w:rPr>
        <w:t>2014-2016 годы</w:t>
      </w:r>
    </w:p>
    <w:p w:rsidR="00967B13" w:rsidRDefault="00967B13" w:rsidP="00E67088">
      <w:pPr>
        <w:pStyle w:val="3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967B13" w:rsidRPr="00E47C39" w:rsidRDefault="00967B13" w:rsidP="00967B13">
      <w:pPr>
        <w:ind w:firstLine="709"/>
        <w:jc w:val="both"/>
      </w:pPr>
      <w:r>
        <w:t>О</w:t>
      </w:r>
      <w:r w:rsidRPr="00E47C39">
        <w:t>бъем средств, запланированный на реализацию мероприятий муниципальн</w:t>
      </w:r>
      <w:r>
        <w:t>ых</w:t>
      </w:r>
      <w:r w:rsidRPr="00E47C39">
        <w:t xml:space="preserve"> программ за счет средств бюджета сельского поселения </w:t>
      </w:r>
      <w:r w:rsidR="00DB1B5E">
        <w:t>Сосновка</w:t>
      </w:r>
      <w:r w:rsidRPr="00E47C39">
        <w:t xml:space="preserve">, составил </w:t>
      </w:r>
      <w:r w:rsidR="00DB1B5E">
        <w:t xml:space="preserve">15 590,8 тыс. руб. </w:t>
      </w:r>
      <w:r w:rsidRPr="00E47C39">
        <w:t xml:space="preserve">фактическое исполнение составило </w:t>
      </w:r>
      <w:r w:rsidR="00DB1B5E">
        <w:t>13 320,0</w:t>
      </w:r>
      <w:r w:rsidRPr="00E47C39">
        <w:t xml:space="preserve"> тыс. руб. (</w:t>
      </w:r>
      <w:r w:rsidR="00DB1B5E">
        <w:t>85,4</w:t>
      </w:r>
      <w:r w:rsidRPr="00E47C39">
        <w:t xml:space="preserve"> % от утвержденных годовых лимитов).</w:t>
      </w:r>
    </w:p>
    <w:p w:rsidR="00967B13" w:rsidRDefault="00967B13" w:rsidP="00967B13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967B13" w:rsidRPr="00E47C39" w:rsidRDefault="00967B13" w:rsidP="00967B1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47C39">
        <w:rPr>
          <w:b/>
          <w:sz w:val="24"/>
          <w:szCs w:val="24"/>
        </w:rPr>
        <w:t>Доля программных расходов</w:t>
      </w:r>
      <w:r w:rsidRPr="00E47C39">
        <w:rPr>
          <w:sz w:val="24"/>
          <w:szCs w:val="24"/>
        </w:rPr>
        <w:t xml:space="preserve"> в общем объеме расходов </w:t>
      </w:r>
      <w:r>
        <w:rPr>
          <w:sz w:val="24"/>
          <w:szCs w:val="24"/>
        </w:rPr>
        <w:t xml:space="preserve">в период действия программ </w:t>
      </w:r>
      <w:r w:rsidRPr="00E47C39">
        <w:rPr>
          <w:sz w:val="24"/>
          <w:szCs w:val="24"/>
        </w:rPr>
        <w:t xml:space="preserve">сельского поселения </w:t>
      </w:r>
      <w:r w:rsidR="00DB1B5E">
        <w:rPr>
          <w:sz w:val="24"/>
          <w:szCs w:val="24"/>
        </w:rPr>
        <w:t>Сосновка</w:t>
      </w:r>
      <w:r w:rsidRPr="00E47C39">
        <w:rPr>
          <w:sz w:val="24"/>
          <w:szCs w:val="24"/>
        </w:rPr>
        <w:t xml:space="preserve"> составила </w:t>
      </w:r>
      <w:r w:rsidR="00DB1B5E">
        <w:rPr>
          <w:b/>
          <w:sz w:val="24"/>
          <w:szCs w:val="24"/>
        </w:rPr>
        <w:t>23,3</w:t>
      </w:r>
      <w:r w:rsidRPr="00E47C39">
        <w:rPr>
          <w:b/>
          <w:sz w:val="24"/>
          <w:szCs w:val="24"/>
        </w:rPr>
        <w:t xml:space="preserve"> %</w:t>
      </w:r>
      <w:r w:rsidRPr="00E47C39">
        <w:rPr>
          <w:sz w:val="24"/>
          <w:szCs w:val="24"/>
        </w:rPr>
        <w:t>.</w:t>
      </w:r>
    </w:p>
    <w:p w:rsidR="00D91BC1" w:rsidRDefault="00D91BC1" w:rsidP="00E67088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DB1B5E" w:rsidRPr="00E67088" w:rsidRDefault="00DB1B5E" w:rsidP="00E67088">
      <w:pPr>
        <w:pStyle w:val="3"/>
        <w:spacing w:after="0"/>
        <w:ind w:left="0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29175" cy="2933700"/>
            <wp:effectExtent l="3810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1B5E" w:rsidRDefault="00DB1B5E" w:rsidP="00DB1B5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26027">
        <w:rPr>
          <w:sz w:val="24"/>
          <w:szCs w:val="24"/>
        </w:rPr>
        <w:t xml:space="preserve">По муниципальной программе </w:t>
      </w:r>
      <w:r w:rsidRPr="00E510C9">
        <w:rPr>
          <w:b/>
          <w:sz w:val="28"/>
          <w:szCs w:val="28"/>
          <w:u w:val="single"/>
        </w:rPr>
        <w:t>«Защита населения от чрезвычайных ситуаций, обеспечение первичных мер пожарной безопасности и безопасности людей на водных объектах на 2014-2016 годы»</w:t>
      </w:r>
      <w:r w:rsidRPr="00C26027">
        <w:rPr>
          <w:sz w:val="24"/>
          <w:szCs w:val="24"/>
        </w:rPr>
        <w:t xml:space="preserve"> в период </w:t>
      </w:r>
      <w:r>
        <w:rPr>
          <w:sz w:val="24"/>
          <w:szCs w:val="24"/>
        </w:rPr>
        <w:t>действия муниципальной программы</w:t>
      </w:r>
      <w:r w:rsidRPr="00C26027">
        <w:rPr>
          <w:sz w:val="24"/>
          <w:szCs w:val="24"/>
        </w:rPr>
        <w:t xml:space="preserve"> кассовое исполнение составляло </w:t>
      </w:r>
      <w:r w:rsidR="00D51A41">
        <w:rPr>
          <w:sz w:val="24"/>
          <w:szCs w:val="24"/>
        </w:rPr>
        <w:t xml:space="preserve">100 </w:t>
      </w:r>
      <w:r w:rsidRPr="00C26027">
        <w:rPr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 w:rsidRPr="00C2602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26027">
        <w:rPr>
          <w:sz w:val="24"/>
          <w:szCs w:val="24"/>
        </w:rPr>
        <w:t xml:space="preserve">ыполнение по целевым показателям </w:t>
      </w:r>
      <w:r>
        <w:rPr>
          <w:sz w:val="24"/>
          <w:szCs w:val="24"/>
        </w:rPr>
        <w:t xml:space="preserve">муниципальной программы </w:t>
      </w:r>
      <w:r w:rsidRPr="00C26027">
        <w:rPr>
          <w:sz w:val="24"/>
          <w:szCs w:val="24"/>
        </w:rPr>
        <w:t xml:space="preserve">составило </w:t>
      </w:r>
      <w:r w:rsidR="00A578DE">
        <w:rPr>
          <w:sz w:val="24"/>
          <w:szCs w:val="24"/>
        </w:rPr>
        <w:t>96,3</w:t>
      </w:r>
      <w:r w:rsidRPr="00C26027">
        <w:rPr>
          <w:sz w:val="24"/>
          <w:szCs w:val="24"/>
        </w:rPr>
        <w:t>% .</w:t>
      </w:r>
    </w:p>
    <w:p w:rsidR="00DB1B5E" w:rsidRDefault="00FB1703" w:rsidP="00DB1B5E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520D910" wp14:editId="5833E60C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1B5E" w:rsidRPr="00FB1703" w:rsidRDefault="00FB1703" w:rsidP="00DB1B5E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FB1703">
        <w:rPr>
          <w:b/>
          <w:sz w:val="24"/>
          <w:szCs w:val="24"/>
        </w:rPr>
        <w:t xml:space="preserve">Выполнение целевых показателей, кассовое исполнение по годам, </w:t>
      </w:r>
      <w:proofErr w:type="gramStart"/>
      <w:r w:rsidRPr="00FB1703">
        <w:rPr>
          <w:b/>
          <w:sz w:val="24"/>
          <w:szCs w:val="24"/>
        </w:rPr>
        <w:t>в</w:t>
      </w:r>
      <w:proofErr w:type="gramEnd"/>
      <w:r w:rsidRPr="00FB1703">
        <w:rPr>
          <w:b/>
          <w:sz w:val="24"/>
          <w:szCs w:val="24"/>
        </w:rPr>
        <w:t xml:space="preserve"> %%</w:t>
      </w:r>
    </w:p>
    <w:p w:rsidR="00FB1703" w:rsidRPr="00FB1703" w:rsidRDefault="00FB1703" w:rsidP="00FB170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B1703">
        <w:rPr>
          <w:sz w:val="24"/>
          <w:szCs w:val="24"/>
        </w:rPr>
        <w:lastRenderedPageBreak/>
        <w:t>Целью муниципальной программы является повышение уровня защиты населения и территории сельского поселения Со</w:t>
      </w:r>
      <w:r w:rsidR="005A6D61">
        <w:rPr>
          <w:sz w:val="24"/>
          <w:szCs w:val="24"/>
        </w:rPr>
        <w:t>сновка</w:t>
      </w:r>
      <w:r w:rsidRPr="00FB1703">
        <w:rPr>
          <w:sz w:val="24"/>
          <w:szCs w:val="24"/>
        </w:rPr>
        <w:t xml:space="preserve"> от угроз природного и техногенного характера, а также обеспечение первичных мер пожарной безопасности.</w:t>
      </w:r>
    </w:p>
    <w:p w:rsidR="00FB1703" w:rsidRDefault="00FB1703" w:rsidP="00FB170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B1703">
        <w:rPr>
          <w:sz w:val="24"/>
          <w:szCs w:val="24"/>
        </w:rPr>
        <w:t>Для достижения цели муниципальной программы были исполнены следующие задачи:</w:t>
      </w:r>
    </w:p>
    <w:p w:rsidR="000A5105" w:rsidRPr="00405CBD" w:rsidRDefault="000A5105" w:rsidP="00FB1703">
      <w:pPr>
        <w:pStyle w:val="3"/>
        <w:numPr>
          <w:ilvl w:val="0"/>
          <w:numId w:val="7"/>
        </w:numPr>
        <w:spacing w:after="0"/>
        <w:ind w:left="1276" w:hanging="567"/>
        <w:jc w:val="both"/>
        <w:rPr>
          <w:sz w:val="24"/>
          <w:szCs w:val="24"/>
        </w:rPr>
      </w:pPr>
      <w:r w:rsidRPr="00405CBD">
        <w:rPr>
          <w:sz w:val="24"/>
          <w:szCs w:val="24"/>
        </w:rPr>
        <w:t>повышени</w:t>
      </w:r>
      <w:r w:rsidR="00FB1703">
        <w:rPr>
          <w:sz w:val="24"/>
          <w:szCs w:val="24"/>
        </w:rPr>
        <w:t>е</w:t>
      </w:r>
      <w:r w:rsidRPr="00405CBD">
        <w:rPr>
          <w:sz w:val="24"/>
          <w:szCs w:val="24"/>
        </w:rPr>
        <w:t xml:space="preserve"> грамотности населения в области предупреждения и ликвидации чрезвычайных ситуаций. В данном направлении были проведены мероприятия по обучению неработающего населения и распространению информационного.</w:t>
      </w:r>
    </w:p>
    <w:p w:rsidR="00F00E63" w:rsidRPr="006E72A8" w:rsidRDefault="0065073C" w:rsidP="00FB1703">
      <w:pPr>
        <w:pStyle w:val="3"/>
        <w:numPr>
          <w:ilvl w:val="0"/>
          <w:numId w:val="7"/>
        </w:numPr>
        <w:spacing w:after="0"/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приобретены лекарственные препараты и обновлено имеющееся вещевое имущество (рукавицы, валенки, шапки)</w:t>
      </w:r>
      <w:r w:rsidR="00FB1703">
        <w:rPr>
          <w:sz w:val="24"/>
          <w:szCs w:val="24"/>
        </w:rPr>
        <w:t xml:space="preserve">; </w:t>
      </w:r>
      <w:r w:rsidR="00FB1703" w:rsidRPr="000A5105">
        <w:rPr>
          <w:sz w:val="24"/>
          <w:szCs w:val="24"/>
        </w:rPr>
        <w:t xml:space="preserve">2 умывальника; термос 12л.; свечи </w:t>
      </w:r>
      <w:r w:rsidR="00FB1703">
        <w:rPr>
          <w:sz w:val="24"/>
          <w:szCs w:val="24"/>
        </w:rPr>
        <w:t>хозяйственные; кухонная утварь; лом</w:t>
      </w:r>
      <w:r>
        <w:rPr>
          <w:sz w:val="24"/>
          <w:szCs w:val="24"/>
        </w:rPr>
        <w:t>.</w:t>
      </w:r>
      <w:r w:rsidR="00F00E63">
        <w:rPr>
          <w:sz w:val="24"/>
          <w:szCs w:val="24"/>
        </w:rPr>
        <w:t xml:space="preserve"> </w:t>
      </w:r>
    </w:p>
    <w:p w:rsidR="00F00E63" w:rsidRDefault="0065073C" w:rsidP="00FB1703">
      <w:pPr>
        <w:pStyle w:val="3"/>
        <w:numPr>
          <w:ilvl w:val="0"/>
          <w:numId w:val="7"/>
        </w:numPr>
        <w:spacing w:after="0"/>
        <w:ind w:left="1276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приобретена пожарная мотопомпа для </w:t>
      </w:r>
      <w:r w:rsidRPr="0065073C">
        <w:rPr>
          <w:sz w:val="24"/>
          <w:szCs w:val="24"/>
        </w:rPr>
        <w:t>подачи воды через нап</w:t>
      </w:r>
      <w:r>
        <w:rPr>
          <w:sz w:val="24"/>
          <w:szCs w:val="24"/>
        </w:rPr>
        <w:t>орную магистраль к очагу пожара для его ликвидации.</w:t>
      </w:r>
      <w:proofErr w:type="gramEnd"/>
    </w:p>
    <w:p w:rsidR="00FB1703" w:rsidRDefault="00FB1703" w:rsidP="00FB1703">
      <w:pPr>
        <w:pStyle w:val="3"/>
        <w:numPr>
          <w:ilvl w:val="0"/>
          <w:numId w:val="7"/>
        </w:numPr>
        <w:spacing w:after="0"/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 договор </w:t>
      </w:r>
      <w:r w:rsidR="000A5105" w:rsidRPr="000A5105">
        <w:rPr>
          <w:sz w:val="24"/>
          <w:szCs w:val="24"/>
        </w:rPr>
        <w:t>на выполнение работ по опашке минерализованной полосы</w:t>
      </w:r>
    </w:p>
    <w:p w:rsidR="000A5105" w:rsidRDefault="000A5105" w:rsidP="00F00E63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A578DE" w:rsidRDefault="00A578DE" w:rsidP="00A578D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A3230">
        <w:rPr>
          <w:sz w:val="24"/>
          <w:szCs w:val="24"/>
        </w:rPr>
        <w:t xml:space="preserve">В рамках мероприятий муниципальной программы на территории сельского поселения </w:t>
      </w:r>
      <w:r>
        <w:rPr>
          <w:sz w:val="24"/>
          <w:szCs w:val="24"/>
        </w:rPr>
        <w:t>Сосновка</w:t>
      </w:r>
      <w:r w:rsidRPr="00AA3230">
        <w:rPr>
          <w:sz w:val="24"/>
          <w:szCs w:val="24"/>
        </w:rPr>
        <w:t xml:space="preserve"> удалось предупредить чрезвычайные ситуации природного и техногенного характера, в том числе природные пожары</w:t>
      </w:r>
      <w:r>
        <w:rPr>
          <w:sz w:val="24"/>
          <w:szCs w:val="24"/>
        </w:rPr>
        <w:t>.</w:t>
      </w:r>
    </w:p>
    <w:p w:rsidR="00A578DE" w:rsidRDefault="00A578DE" w:rsidP="00A578DE">
      <w:pPr>
        <w:pStyle w:val="3"/>
        <w:tabs>
          <w:tab w:val="left" w:pos="3885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578DE" w:rsidRPr="002E570C" w:rsidRDefault="00A578DE" w:rsidP="00A578DE">
      <w:pPr>
        <w:pStyle w:val="3"/>
        <w:spacing w:after="0"/>
        <w:ind w:left="0"/>
        <w:jc w:val="center"/>
        <w:rPr>
          <w:sz w:val="28"/>
          <w:szCs w:val="28"/>
        </w:rPr>
      </w:pPr>
      <w:r w:rsidRPr="002E570C">
        <w:rPr>
          <w:b/>
          <w:sz w:val="28"/>
          <w:szCs w:val="28"/>
        </w:rPr>
        <w:t>Освоение бюджетных средств и выполнение по целевым показателям в разрезе по годам</w:t>
      </w:r>
    </w:p>
    <w:tbl>
      <w:tblPr>
        <w:tblStyle w:val="a8"/>
        <w:tblW w:w="9652" w:type="dxa"/>
        <w:tblLook w:val="04A0" w:firstRow="1" w:lastRow="0" w:firstColumn="1" w:lastColumn="0" w:noHBand="0" w:noVBand="1"/>
      </w:tblPr>
      <w:tblGrid>
        <w:gridCol w:w="1668"/>
        <w:gridCol w:w="1867"/>
        <w:gridCol w:w="2272"/>
        <w:gridCol w:w="1853"/>
        <w:gridCol w:w="1992"/>
      </w:tblGrid>
      <w:tr w:rsidR="00A578DE" w:rsidRPr="00AA3230" w:rsidTr="00BB7E14">
        <w:trPr>
          <w:trHeight w:val="1628"/>
        </w:trPr>
        <w:tc>
          <w:tcPr>
            <w:tcW w:w="1668" w:type="dxa"/>
          </w:tcPr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Отчетный год</w:t>
            </w:r>
          </w:p>
        </w:tc>
        <w:tc>
          <w:tcPr>
            <w:tcW w:w="1867" w:type="dxa"/>
          </w:tcPr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Объем бюджетных ассигнований на реализацию,         тыс. руб.</w:t>
            </w:r>
          </w:p>
        </w:tc>
        <w:tc>
          <w:tcPr>
            <w:tcW w:w="2272" w:type="dxa"/>
          </w:tcPr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Фактические объемы бюджетных ассигнований на реализацию муниципальной программы,  тыс. руб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853" w:type="dxa"/>
          </w:tcPr>
          <w:p w:rsidR="00A578DE" w:rsidRDefault="00A578DE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 xml:space="preserve">Процент исполнения </w:t>
            </w:r>
          </w:p>
        </w:tc>
        <w:tc>
          <w:tcPr>
            <w:tcW w:w="1992" w:type="dxa"/>
          </w:tcPr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Выполнение по целевым показателям</w:t>
            </w:r>
          </w:p>
        </w:tc>
      </w:tr>
      <w:tr w:rsidR="00A578DE" w:rsidRPr="00AA3230" w:rsidTr="00BB7E14">
        <w:trPr>
          <w:trHeight w:val="404"/>
        </w:trPr>
        <w:tc>
          <w:tcPr>
            <w:tcW w:w="1668" w:type="dxa"/>
          </w:tcPr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2014</w:t>
            </w:r>
          </w:p>
        </w:tc>
        <w:tc>
          <w:tcPr>
            <w:tcW w:w="1867" w:type="dxa"/>
          </w:tcPr>
          <w:p w:rsidR="00A578DE" w:rsidRPr="00AA3230" w:rsidRDefault="00A578DE" w:rsidP="00A578DE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2272" w:type="dxa"/>
          </w:tcPr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853" w:type="dxa"/>
          </w:tcPr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92" w:type="dxa"/>
          </w:tcPr>
          <w:p w:rsidR="00A578DE" w:rsidRPr="00637C80" w:rsidRDefault="00A578DE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37C80">
              <w:rPr>
                <w:sz w:val="24"/>
                <w:szCs w:val="24"/>
              </w:rPr>
              <w:t>100%</w:t>
            </w:r>
          </w:p>
        </w:tc>
      </w:tr>
      <w:tr w:rsidR="00A578DE" w:rsidRPr="00AA3230" w:rsidTr="00BB7E14">
        <w:trPr>
          <w:trHeight w:val="404"/>
        </w:trPr>
        <w:tc>
          <w:tcPr>
            <w:tcW w:w="1668" w:type="dxa"/>
          </w:tcPr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2015</w:t>
            </w:r>
          </w:p>
        </w:tc>
        <w:tc>
          <w:tcPr>
            <w:tcW w:w="1867" w:type="dxa"/>
          </w:tcPr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2272" w:type="dxa"/>
          </w:tcPr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1853" w:type="dxa"/>
          </w:tcPr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92" w:type="dxa"/>
          </w:tcPr>
          <w:p w:rsidR="00A578DE" w:rsidRPr="00AA3230" w:rsidRDefault="00A578DE" w:rsidP="00A578DE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AA3230">
              <w:rPr>
                <w:sz w:val="24"/>
                <w:szCs w:val="24"/>
              </w:rPr>
              <w:t>%</w:t>
            </w:r>
          </w:p>
        </w:tc>
      </w:tr>
      <w:tr w:rsidR="00A578DE" w:rsidRPr="00AA3230" w:rsidTr="00BB7E14">
        <w:trPr>
          <w:trHeight w:val="426"/>
        </w:trPr>
        <w:tc>
          <w:tcPr>
            <w:tcW w:w="1668" w:type="dxa"/>
          </w:tcPr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2016</w:t>
            </w:r>
          </w:p>
        </w:tc>
        <w:tc>
          <w:tcPr>
            <w:tcW w:w="1867" w:type="dxa"/>
          </w:tcPr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2272" w:type="dxa"/>
          </w:tcPr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853" w:type="dxa"/>
          </w:tcPr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  <w:tc>
          <w:tcPr>
            <w:tcW w:w="1992" w:type="dxa"/>
          </w:tcPr>
          <w:p w:rsidR="00A578DE" w:rsidRPr="00AA3230" w:rsidRDefault="00A578DE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</w:tbl>
    <w:p w:rsidR="00A578DE" w:rsidRDefault="00A578DE" w:rsidP="00A578DE">
      <w:pPr>
        <w:pStyle w:val="3"/>
        <w:spacing w:after="0"/>
        <w:ind w:left="0"/>
        <w:jc w:val="both"/>
        <w:rPr>
          <w:sz w:val="24"/>
          <w:szCs w:val="24"/>
        </w:rPr>
      </w:pPr>
    </w:p>
    <w:p w:rsidR="00A578DE" w:rsidRPr="00B30E88" w:rsidRDefault="00A578DE" w:rsidP="00A578DE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весь период реализации муниципальной программы освоение бюджетных средств на уровне 100 %, </w:t>
      </w:r>
      <w:r w:rsidRPr="00B30E88">
        <w:rPr>
          <w:sz w:val="24"/>
          <w:szCs w:val="24"/>
        </w:rPr>
        <w:t>достижение целевых показателей на высоком уровне.</w:t>
      </w:r>
    </w:p>
    <w:p w:rsidR="000A5105" w:rsidRDefault="000A5105" w:rsidP="00F00E63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D2861" w:rsidRPr="009964D7" w:rsidRDefault="00ED2861" w:rsidP="00ED286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9964D7">
        <w:rPr>
          <w:b/>
          <w:sz w:val="24"/>
          <w:szCs w:val="24"/>
        </w:rPr>
        <w:t>Проанализировав фактически достигнутые и запланированные показатели результативности, целесообразность расходов на реализацию тех или иных мероприятий муниципальной программы, выполнение поставленных задач</w:t>
      </w:r>
      <w:r>
        <w:rPr>
          <w:b/>
          <w:sz w:val="24"/>
          <w:szCs w:val="24"/>
        </w:rPr>
        <w:t>,</w:t>
      </w:r>
      <w:r w:rsidRPr="009964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м</w:t>
      </w:r>
      <w:r w:rsidRPr="009964D7">
        <w:rPr>
          <w:b/>
          <w:sz w:val="24"/>
          <w:szCs w:val="24"/>
        </w:rPr>
        <w:t>униципальн</w:t>
      </w:r>
      <w:r>
        <w:rPr>
          <w:b/>
          <w:sz w:val="24"/>
          <w:szCs w:val="24"/>
        </w:rPr>
        <w:t>ую</w:t>
      </w:r>
      <w:r w:rsidRPr="009964D7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у</w:t>
      </w:r>
      <w:r w:rsidRPr="009964D7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Сосновка</w:t>
      </w:r>
      <w:r w:rsidRPr="009964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признать</w:t>
      </w:r>
      <w:r w:rsidRPr="009964D7">
        <w:rPr>
          <w:b/>
          <w:sz w:val="24"/>
          <w:szCs w:val="24"/>
        </w:rPr>
        <w:t xml:space="preserve"> исполненной, бюджетные расходы эффективны. </w:t>
      </w:r>
      <w:r>
        <w:rPr>
          <w:b/>
          <w:sz w:val="24"/>
          <w:szCs w:val="24"/>
        </w:rPr>
        <w:t>О</w:t>
      </w:r>
      <w:r w:rsidRPr="009964D7">
        <w:rPr>
          <w:b/>
          <w:sz w:val="24"/>
          <w:szCs w:val="24"/>
        </w:rPr>
        <w:t xml:space="preserve">сновная цель муниципальной программы достигнута - </w:t>
      </w:r>
      <w:r w:rsidRPr="009964D7">
        <w:rPr>
          <w:rFonts w:eastAsia="Times New Roman"/>
          <w:b/>
          <w:sz w:val="24"/>
          <w:szCs w:val="24"/>
          <w:lang w:eastAsia="ru-RU"/>
        </w:rPr>
        <w:t xml:space="preserve">повышен уровень защиты населения и территории сельского поселения </w:t>
      </w:r>
      <w:r>
        <w:rPr>
          <w:rFonts w:eastAsia="Times New Roman"/>
          <w:b/>
          <w:sz w:val="24"/>
          <w:szCs w:val="24"/>
          <w:lang w:eastAsia="ru-RU"/>
        </w:rPr>
        <w:t xml:space="preserve">Сосновка </w:t>
      </w:r>
      <w:r w:rsidRPr="009964D7">
        <w:rPr>
          <w:rFonts w:eastAsia="Times New Roman"/>
          <w:b/>
          <w:sz w:val="24"/>
          <w:szCs w:val="24"/>
          <w:lang w:eastAsia="ru-RU"/>
        </w:rPr>
        <w:t xml:space="preserve">от угроз природного и техногенного характера, а также обеспечены первичные мере пожарной безопасности. </w:t>
      </w:r>
      <w:r w:rsidRPr="009964D7">
        <w:rPr>
          <w:b/>
          <w:sz w:val="24"/>
          <w:szCs w:val="24"/>
        </w:rPr>
        <w:t xml:space="preserve"> </w:t>
      </w:r>
    </w:p>
    <w:p w:rsidR="00364D9F" w:rsidRDefault="00364D9F" w:rsidP="00F00E63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C74903" w:rsidRDefault="00C74903" w:rsidP="00C74903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D78BB">
        <w:rPr>
          <w:sz w:val="24"/>
          <w:szCs w:val="24"/>
        </w:rPr>
        <w:t>о муниципальной программе</w:t>
      </w:r>
      <w:r w:rsidRPr="00AD78BB">
        <w:rPr>
          <w:b/>
          <w:sz w:val="24"/>
          <w:szCs w:val="24"/>
        </w:rPr>
        <w:t xml:space="preserve"> «</w:t>
      </w:r>
      <w:r w:rsidRPr="00AD78BB">
        <w:rPr>
          <w:b/>
          <w:sz w:val="28"/>
          <w:szCs w:val="28"/>
        </w:rPr>
        <w:t>Развитие жилищно-коммунального комплекса и повышение энергетической эффективности  на 2014-2016 годы</w:t>
      </w:r>
      <w:r w:rsidRPr="00AD78B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B53EED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>действия</w:t>
      </w:r>
      <w:r w:rsidRPr="00B53EE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 w:rsidRPr="00B53EED">
        <w:rPr>
          <w:sz w:val="24"/>
          <w:szCs w:val="24"/>
        </w:rPr>
        <w:t>, кассовое исполнение составило</w:t>
      </w:r>
      <w:r w:rsidR="000D1C95">
        <w:rPr>
          <w:sz w:val="24"/>
          <w:szCs w:val="24"/>
        </w:rPr>
        <w:t xml:space="preserve">       </w:t>
      </w:r>
      <w:r w:rsidRPr="00B53EED">
        <w:rPr>
          <w:sz w:val="24"/>
          <w:szCs w:val="24"/>
        </w:rPr>
        <w:t xml:space="preserve"> </w:t>
      </w:r>
      <w:r w:rsidR="000D1C95">
        <w:rPr>
          <w:sz w:val="24"/>
          <w:szCs w:val="24"/>
        </w:rPr>
        <w:t xml:space="preserve">86 </w:t>
      </w:r>
      <w:r w:rsidRPr="00B53EED">
        <w:rPr>
          <w:sz w:val="24"/>
          <w:szCs w:val="24"/>
        </w:rPr>
        <w:t xml:space="preserve">% при достижении целевых показателей на </w:t>
      </w:r>
      <w:r w:rsidRPr="0010023B">
        <w:rPr>
          <w:sz w:val="24"/>
          <w:szCs w:val="24"/>
        </w:rPr>
        <w:t xml:space="preserve">уровне </w:t>
      </w:r>
      <w:r w:rsidR="000D1C95">
        <w:rPr>
          <w:sz w:val="24"/>
          <w:szCs w:val="24"/>
        </w:rPr>
        <w:t>101</w:t>
      </w:r>
      <w:r w:rsidRPr="0010023B">
        <w:rPr>
          <w:sz w:val="24"/>
          <w:szCs w:val="24"/>
        </w:rPr>
        <w:t>%</w:t>
      </w:r>
    </w:p>
    <w:p w:rsidR="000D1C95" w:rsidRDefault="000D1C95" w:rsidP="00C74903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348B" w:rsidRPr="0060348B" w:rsidRDefault="0060348B" w:rsidP="000A5105">
      <w:pPr>
        <w:pStyle w:val="3"/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60348B">
        <w:rPr>
          <w:b/>
          <w:sz w:val="24"/>
          <w:szCs w:val="24"/>
        </w:rPr>
        <w:t xml:space="preserve">Выполнение целевых показателей, кассовое исполнение по годам, </w:t>
      </w:r>
      <w:proofErr w:type="gramStart"/>
      <w:r w:rsidRPr="0060348B">
        <w:rPr>
          <w:b/>
          <w:sz w:val="24"/>
          <w:szCs w:val="24"/>
        </w:rPr>
        <w:t>в</w:t>
      </w:r>
      <w:proofErr w:type="gramEnd"/>
      <w:r w:rsidRPr="0060348B">
        <w:rPr>
          <w:b/>
          <w:sz w:val="24"/>
          <w:szCs w:val="24"/>
        </w:rPr>
        <w:t xml:space="preserve"> %%</w:t>
      </w:r>
    </w:p>
    <w:p w:rsidR="0060348B" w:rsidRPr="0010023B" w:rsidRDefault="0060348B" w:rsidP="0060348B">
      <w:pPr>
        <w:pStyle w:val="3"/>
        <w:spacing w:after="0"/>
        <w:ind w:left="0" w:firstLine="709"/>
        <w:jc w:val="both"/>
        <w:rPr>
          <w:kern w:val="2"/>
          <w:sz w:val="24"/>
          <w:szCs w:val="24"/>
        </w:rPr>
      </w:pPr>
      <w:r w:rsidRPr="0010023B">
        <w:rPr>
          <w:sz w:val="24"/>
          <w:szCs w:val="24"/>
        </w:rPr>
        <w:t xml:space="preserve">Целью муниципальной программы является развитие жилищно-коммунального комплекса и повышение энергетической эффективности в сельском поселении </w:t>
      </w:r>
      <w:r>
        <w:rPr>
          <w:sz w:val="24"/>
          <w:szCs w:val="24"/>
        </w:rPr>
        <w:t>Сосновка</w:t>
      </w:r>
      <w:r w:rsidRPr="0010023B">
        <w:rPr>
          <w:sz w:val="24"/>
          <w:szCs w:val="24"/>
        </w:rPr>
        <w:t>.</w:t>
      </w:r>
    </w:p>
    <w:p w:rsidR="0060348B" w:rsidRPr="00541F99" w:rsidRDefault="0060348B" w:rsidP="0060348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41F99">
        <w:rPr>
          <w:sz w:val="24"/>
          <w:szCs w:val="24"/>
        </w:rPr>
        <w:t>Для достижения основной цели муниципальной программы были исполнены следующие  задачи:</w:t>
      </w:r>
    </w:p>
    <w:p w:rsidR="0060348B" w:rsidRPr="00541F99" w:rsidRDefault="0060348B" w:rsidP="0060348B">
      <w:pPr>
        <w:pStyle w:val="a3"/>
        <w:numPr>
          <w:ilvl w:val="0"/>
          <w:numId w:val="14"/>
        </w:numPr>
        <w:suppressAutoHyphens/>
        <w:jc w:val="both"/>
      </w:pPr>
      <w:r w:rsidRPr="00541F99">
        <w:t>повышение  эффективности  использования энергетических ресурсов в системах коммунальной инфраструктуры;</w:t>
      </w:r>
    </w:p>
    <w:p w:rsidR="0060348B" w:rsidRPr="00541F99" w:rsidRDefault="0060348B" w:rsidP="0060348B">
      <w:pPr>
        <w:pStyle w:val="a3"/>
        <w:numPr>
          <w:ilvl w:val="0"/>
          <w:numId w:val="15"/>
        </w:numPr>
        <w:suppressAutoHyphens/>
        <w:jc w:val="both"/>
      </w:pPr>
      <w:r w:rsidRPr="00541F99">
        <w:t xml:space="preserve">повышение уровня благоустройства территории сельского поселения </w:t>
      </w:r>
      <w:r>
        <w:t>Сосновка</w:t>
      </w:r>
      <w:r w:rsidRPr="00541F99">
        <w:t>;</w:t>
      </w:r>
    </w:p>
    <w:p w:rsidR="0060348B" w:rsidRPr="00541F99" w:rsidRDefault="0060348B" w:rsidP="0060348B">
      <w:pPr>
        <w:pStyle w:val="3"/>
        <w:tabs>
          <w:tab w:val="left" w:pos="993"/>
        </w:tabs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541F99">
        <w:rPr>
          <w:rFonts w:eastAsia="Times New Roman"/>
          <w:kern w:val="0"/>
          <w:sz w:val="24"/>
          <w:szCs w:val="24"/>
          <w:lang w:eastAsia="ru-RU"/>
        </w:rPr>
        <w:t xml:space="preserve">В целях повышения </w:t>
      </w:r>
      <w:r w:rsidRPr="00541F99">
        <w:rPr>
          <w:sz w:val="24"/>
          <w:szCs w:val="24"/>
        </w:rPr>
        <w:t>эффективности  использования энергетических ресурсов в системах коммунальной инфраструктуры</w:t>
      </w:r>
      <w:r w:rsidRPr="00541F99">
        <w:rPr>
          <w:rFonts w:eastAsia="Times New Roman"/>
          <w:kern w:val="0"/>
          <w:sz w:val="24"/>
          <w:szCs w:val="24"/>
          <w:lang w:eastAsia="ru-RU"/>
        </w:rPr>
        <w:t xml:space="preserve"> выполнены следующие мероприятия:</w:t>
      </w:r>
    </w:p>
    <w:p w:rsidR="0060348B" w:rsidRPr="00E54791" w:rsidRDefault="0060348B" w:rsidP="0060348B">
      <w:pPr>
        <w:pStyle w:val="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E54791">
        <w:rPr>
          <w:rFonts w:eastAsia="Times New Roman"/>
          <w:kern w:val="0"/>
          <w:sz w:val="24"/>
          <w:szCs w:val="24"/>
          <w:lang w:eastAsia="ru-RU"/>
        </w:rPr>
        <w:t>замена ламп накаливания высок</w:t>
      </w:r>
      <w:r>
        <w:rPr>
          <w:rFonts w:eastAsia="Times New Roman"/>
          <w:kern w:val="0"/>
          <w:sz w:val="24"/>
          <w:szCs w:val="24"/>
          <w:lang w:eastAsia="ru-RU"/>
        </w:rPr>
        <w:t>ой мощности на энергоэффективные</w:t>
      </w:r>
      <w:r w:rsidRPr="00E54791">
        <w:rPr>
          <w:rFonts w:eastAsia="Times New Roman"/>
          <w:kern w:val="0"/>
          <w:sz w:val="24"/>
          <w:szCs w:val="24"/>
          <w:lang w:eastAsia="ru-RU"/>
        </w:rPr>
        <w:t>;</w:t>
      </w:r>
    </w:p>
    <w:p w:rsidR="0060348B" w:rsidRPr="00E54791" w:rsidRDefault="0060348B" w:rsidP="0060348B">
      <w:pPr>
        <w:pStyle w:val="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E54791">
        <w:rPr>
          <w:rFonts w:eastAsia="Times New Roman"/>
          <w:kern w:val="0"/>
          <w:sz w:val="24"/>
          <w:szCs w:val="24"/>
          <w:lang w:eastAsia="ru-RU"/>
        </w:rPr>
        <w:t>рем</w:t>
      </w:r>
      <w:r>
        <w:rPr>
          <w:rFonts w:eastAsia="Times New Roman"/>
          <w:kern w:val="0"/>
          <w:sz w:val="24"/>
          <w:szCs w:val="24"/>
          <w:lang w:eastAsia="ru-RU"/>
        </w:rPr>
        <w:t>онт узлов учета тепловой энергии</w:t>
      </w:r>
      <w:r w:rsidRPr="00E54791">
        <w:rPr>
          <w:rFonts w:eastAsia="Times New Roman"/>
          <w:kern w:val="0"/>
          <w:sz w:val="24"/>
          <w:szCs w:val="24"/>
          <w:lang w:eastAsia="ru-RU"/>
        </w:rPr>
        <w:t>;</w:t>
      </w:r>
    </w:p>
    <w:p w:rsidR="0060348B" w:rsidRPr="00E54791" w:rsidRDefault="0060348B" w:rsidP="0060348B">
      <w:pPr>
        <w:pStyle w:val="3"/>
        <w:numPr>
          <w:ilvl w:val="0"/>
          <w:numId w:val="13"/>
        </w:numPr>
        <w:tabs>
          <w:tab w:val="left" w:pos="993"/>
        </w:tabs>
        <w:spacing w:after="0" w:line="360" w:lineRule="auto"/>
        <w:ind w:left="993" w:hanging="284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E54791">
        <w:rPr>
          <w:rFonts w:eastAsia="Times New Roman"/>
          <w:kern w:val="0"/>
          <w:sz w:val="24"/>
          <w:szCs w:val="24"/>
          <w:lang w:eastAsia="ru-RU"/>
        </w:rPr>
        <w:t xml:space="preserve">проведение обследования проводов и кабелей в здании администрации с целью выявления нарушения целостности </w:t>
      </w:r>
      <w:r>
        <w:rPr>
          <w:rFonts w:eastAsia="Times New Roman"/>
          <w:kern w:val="0"/>
          <w:sz w:val="24"/>
          <w:szCs w:val="24"/>
          <w:lang w:eastAsia="ru-RU"/>
        </w:rPr>
        <w:t>изоляции и дальнейшего ремонта;</w:t>
      </w:r>
    </w:p>
    <w:p w:rsidR="0060348B" w:rsidRDefault="0060348B" w:rsidP="0060348B">
      <w:pPr>
        <w:pStyle w:val="3"/>
        <w:numPr>
          <w:ilvl w:val="0"/>
          <w:numId w:val="12"/>
        </w:numPr>
        <w:tabs>
          <w:tab w:val="left" w:pos="993"/>
        </w:tabs>
        <w:spacing w:after="0" w:line="360" w:lineRule="auto"/>
        <w:ind w:left="993" w:hanging="284"/>
        <w:jc w:val="both"/>
        <w:rPr>
          <w:sz w:val="24"/>
          <w:szCs w:val="24"/>
        </w:rPr>
      </w:pPr>
      <w:r w:rsidRPr="0060348B">
        <w:rPr>
          <w:sz w:val="24"/>
          <w:szCs w:val="24"/>
        </w:rPr>
        <w:t xml:space="preserve">проведены работы по ТО и </w:t>
      </w:r>
      <w:proofErr w:type="gramStart"/>
      <w:r w:rsidRPr="0060348B">
        <w:rPr>
          <w:sz w:val="24"/>
          <w:szCs w:val="24"/>
        </w:rPr>
        <w:t>ТР</w:t>
      </w:r>
      <w:proofErr w:type="gramEnd"/>
      <w:r w:rsidRPr="0060348B">
        <w:rPr>
          <w:sz w:val="24"/>
          <w:szCs w:val="24"/>
        </w:rPr>
        <w:t xml:space="preserve"> электрооборудования, согласно заключенного договора с АО "</w:t>
      </w:r>
      <w:proofErr w:type="spellStart"/>
      <w:r w:rsidRPr="0060348B">
        <w:rPr>
          <w:sz w:val="24"/>
          <w:szCs w:val="24"/>
        </w:rPr>
        <w:t>Газпромэлектрогаз</w:t>
      </w:r>
      <w:proofErr w:type="spellEnd"/>
      <w:r w:rsidRPr="0060348B">
        <w:rPr>
          <w:sz w:val="24"/>
          <w:szCs w:val="24"/>
        </w:rPr>
        <w:t>"</w:t>
      </w:r>
    </w:p>
    <w:p w:rsidR="0060348B" w:rsidRDefault="0060348B" w:rsidP="00D019B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0348B">
        <w:rPr>
          <w:sz w:val="24"/>
          <w:szCs w:val="24"/>
        </w:rPr>
        <w:t xml:space="preserve">В целях </w:t>
      </w:r>
      <w:proofErr w:type="gramStart"/>
      <w:r w:rsidRPr="0060348B">
        <w:rPr>
          <w:sz w:val="24"/>
          <w:szCs w:val="24"/>
        </w:rPr>
        <w:t>повышения уровня благоустройства территории сельского поселения</w:t>
      </w:r>
      <w:proofErr w:type="gramEnd"/>
      <w:r w:rsidRPr="0060348B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Сосновка</w:t>
      </w:r>
      <w:r w:rsidRPr="0060348B">
        <w:rPr>
          <w:sz w:val="24"/>
          <w:szCs w:val="24"/>
        </w:rPr>
        <w:t xml:space="preserve"> выполнены следующие мероприятия: </w:t>
      </w:r>
    </w:p>
    <w:p w:rsidR="00D019B0" w:rsidRPr="00D019B0" w:rsidRDefault="00D019B0" w:rsidP="00D019B0">
      <w:pPr>
        <w:pStyle w:val="3"/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sz w:val="24"/>
          <w:szCs w:val="24"/>
        </w:rPr>
      </w:pPr>
      <w:r w:rsidRPr="00D019B0">
        <w:rPr>
          <w:sz w:val="24"/>
          <w:szCs w:val="24"/>
        </w:rPr>
        <w:t>в рамках мероприятий по благоустройству территории сельского поселения были увеличены площади зеленых насаждений с 2000 м</w:t>
      </w:r>
      <w:proofErr w:type="gramStart"/>
      <w:r w:rsidRPr="00D019B0">
        <w:rPr>
          <w:kern w:val="24"/>
          <w:sz w:val="24"/>
          <w:szCs w:val="24"/>
          <w:vertAlign w:val="superscript"/>
        </w:rPr>
        <w:t>2</w:t>
      </w:r>
      <w:proofErr w:type="gramEnd"/>
      <w:r w:rsidRPr="00D019B0">
        <w:rPr>
          <w:sz w:val="24"/>
          <w:szCs w:val="24"/>
        </w:rPr>
        <w:t xml:space="preserve"> на начало реализации программы до 2350 м</w:t>
      </w:r>
      <w:r w:rsidRPr="00D019B0">
        <w:rPr>
          <w:kern w:val="24"/>
          <w:sz w:val="24"/>
          <w:szCs w:val="24"/>
          <w:vertAlign w:val="superscript"/>
        </w:rPr>
        <w:t>2</w:t>
      </w:r>
      <w:r w:rsidRPr="00D019B0">
        <w:rPr>
          <w:sz w:val="24"/>
          <w:szCs w:val="24"/>
        </w:rPr>
        <w:t xml:space="preserve"> в 2014 году, до 2700 м</w:t>
      </w:r>
      <w:r w:rsidRPr="00D019B0">
        <w:rPr>
          <w:kern w:val="24"/>
          <w:sz w:val="24"/>
          <w:szCs w:val="24"/>
          <w:vertAlign w:val="superscript"/>
        </w:rPr>
        <w:t>2</w:t>
      </w:r>
      <w:r w:rsidRPr="00D019B0">
        <w:rPr>
          <w:sz w:val="24"/>
          <w:szCs w:val="24"/>
        </w:rPr>
        <w:t xml:space="preserve"> к 2015 году;</w:t>
      </w:r>
    </w:p>
    <w:p w:rsidR="00D019B0" w:rsidRPr="00D019B0" w:rsidRDefault="00D019B0" w:rsidP="00D019B0">
      <w:pPr>
        <w:pStyle w:val="3"/>
        <w:numPr>
          <w:ilvl w:val="0"/>
          <w:numId w:val="12"/>
        </w:numPr>
        <w:tabs>
          <w:tab w:val="left" w:pos="993"/>
        </w:tabs>
        <w:spacing w:after="0"/>
        <w:ind w:left="993" w:hanging="284"/>
        <w:jc w:val="both"/>
        <w:rPr>
          <w:sz w:val="24"/>
          <w:szCs w:val="24"/>
        </w:rPr>
      </w:pPr>
      <w:r w:rsidRPr="00D019B0">
        <w:rPr>
          <w:sz w:val="24"/>
          <w:szCs w:val="24"/>
        </w:rPr>
        <w:t xml:space="preserve">произведена закупка саженцев, кустарников, удобрений; </w:t>
      </w:r>
    </w:p>
    <w:p w:rsidR="00D019B0" w:rsidRPr="00D019B0" w:rsidRDefault="00D019B0" w:rsidP="00D019B0">
      <w:pPr>
        <w:pStyle w:val="3"/>
        <w:numPr>
          <w:ilvl w:val="0"/>
          <w:numId w:val="12"/>
        </w:numPr>
        <w:tabs>
          <w:tab w:val="left" w:pos="993"/>
        </w:tabs>
        <w:spacing w:after="0"/>
        <w:ind w:left="993" w:hanging="284"/>
        <w:jc w:val="both"/>
        <w:rPr>
          <w:sz w:val="24"/>
          <w:szCs w:val="24"/>
        </w:rPr>
      </w:pPr>
      <w:r w:rsidRPr="00D019B0">
        <w:rPr>
          <w:sz w:val="24"/>
          <w:szCs w:val="24"/>
        </w:rPr>
        <w:t>отремонтированы городские клумбы;</w:t>
      </w:r>
    </w:p>
    <w:p w:rsidR="00D019B0" w:rsidRPr="00D019B0" w:rsidRDefault="00D019B0" w:rsidP="00D019B0">
      <w:pPr>
        <w:pStyle w:val="3"/>
        <w:numPr>
          <w:ilvl w:val="0"/>
          <w:numId w:val="16"/>
        </w:numPr>
        <w:tabs>
          <w:tab w:val="left" w:pos="993"/>
        </w:tabs>
        <w:spacing w:after="0"/>
        <w:ind w:left="993" w:hanging="284"/>
        <w:jc w:val="both"/>
        <w:rPr>
          <w:sz w:val="24"/>
          <w:szCs w:val="24"/>
        </w:rPr>
      </w:pPr>
      <w:r w:rsidRPr="00D019B0">
        <w:rPr>
          <w:sz w:val="24"/>
          <w:szCs w:val="24"/>
        </w:rPr>
        <w:t>пикированы и высажены кустарники и рассада цветов; покос и уборка травы</w:t>
      </w:r>
    </w:p>
    <w:p w:rsidR="00D019B0" w:rsidRPr="00D019B0" w:rsidRDefault="00D019B0" w:rsidP="00D019B0">
      <w:pPr>
        <w:pStyle w:val="3"/>
        <w:numPr>
          <w:ilvl w:val="0"/>
          <w:numId w:val="16"/>
        </w:numPr>
        <w:tabs>
          <w:tab w:val="left" w:pos="993"/>
        </w:tabs>
        <w:spacing w:after="0"/>
        <w:ind w:left="993" w:hanging="284"/>
        <w:jc w:val="both"/>
        <w:rPr>
          <w:sz w:val="24"/>
          <w:szCs w:val="24"/>
        </w:rPr>
      </w:pPr>
      <w:r w:rsidRPr="00D019B0">
        <w:rPr>
          <w:sz w:val="24"/>
          <w:szCs w:val="24"/>
        </w:rPr>
        <w:t>приобретены и установлены уличные фонари;</w:t>
      </w:r>
    </w:p>
    <w:p w:rsidR="00D019B0" w:rsidRPr="00D019B0" w:rsidRDefault="00D019B0" w:rsidP="00D019B0">
      <w:pPr>
        <w:pStyle w:val="3"/>
        <w:numPr>
          <w:ilvl w:val="0"/>
          <w:numId w:val="16"/>
        </w:numPr>
        <w:tabs>
          <w:tab w:val="left" w:pos="993"/>
        </w:tabs>
        <w:spacing w:after="0"/>
        <w:ind w:left="993" w:hanging="284"/>
        <w:jc w:val="both"/>
        <w:rPr>
          <w:sz w:val="24"/>
          <w:szCs w:val="24"/>
        </w:rPr>
      </w:pPr>
      <w:r w:rsidRPr="00D019B0">
        <w:rPr>
          <w:sz w:val="24"/>
          <w:szCs w:val="24"/>
        </w:rPr>
        <w:t>благоустроена придомовая территория проезда к введенному в эксплуатацию жилому дому;</w:t>
      </w:r>
    </w:p>
    <w:p w:rsidR="00D019B0" w:rsidRPr="00D019B0" w:rsidRDefault="00D019B0" w:rsidP="00D019B0">
      <w:pPr>
        <w:pStyle w:val="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019B0">
        <w:rPr>
          <w:sz w:val="24"/>
          <w:szCs w:val="24"/>
        </w:rPr>
        <w:t>создана центральная площадь сельского поселения;</w:t>
      </w:r>
    </w:p>
    <w:p w:rsidR="00D019B0" w:rsidRPr="00D019B0" w:rsidRDefault="00D019B0" w:rsidP="00D019B0">
      <w:pPr>
        <w:pStyle w:val="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D019B0">
        <w:rPr>
          <w:sz w:val="24"/>
          <w:szCs w:val="24"/>
        </w:rPr>
        <w:t xml:space="preserve"> в 2016 году заключено 58 договоров с МЦ "Спутник", из них 52 с несовершеннолетними в возрасте от 14 до 18 лет и 6 с гражданами, испытывающими трудности в поиске работы, на проведение общественных работ</w:t>
      </w:r>
    </w:p>
    <w:p w:rsidR="00CD0A33" w:rsidRPr="00431D6D" w:rsidRDefault="00CD0A33" w:rsidP="00CD0A33">
      <w:pPr>
        <w:pStyle w:val="3"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Pr="00431D6D">
        <w:rPr>
          <w:sz w:val="24"/>
          <w:szCs w:val="24"/>
        </w:rPr>
        <w:t xml:space="preserve">Комплекс проведенных мероприятий позволил повысить уровень благоустройства территории сельского поселения </w:t>
      </w:r>
      <w:r>
        <w:rPr>
          <w:sz w:val="24"/>
          <w:szCs w:val="24"/>
        </w:rPr>
        <w:t>Сосновка</w:t>
      </w:r>
      <w:r w:rsidRPr="00431D6D">
        <w:rPr>
          <w:sz w:val="24"/>
          <w:szCs w:val="24"/>
        </w:rPr>
        <w:t>.</w:t>
      </w:r>
    </w:p>
    <w:p w:rsidR="00CD0A33" w:rsidRPr="00431D6D" w:rsidRDefault="00CD0A33" w:rsidP="00CD0A33">
      <w:pPr>
        <w:pStyle w:val="3"/>
        <w:tabs>
          <w:tab w:val="left" w:pos="993"/>
        </w:tabs>
        <w:spacing w:after="0"/>
        <w:ind w:left="1429"/>
        <w:jc w:val="both"/>
        <w:rPr>
          <w:sz w:val="24"/>
          <w:szCs w:val="24"/>
        </w:rPr>
      </w:pPr>
    </w:p>
    <w:p w:rsidR="00CD0A33" w:rsidRPr="00431D6D" w:rsidRDefault="00CD0A33" w:rsidP="00CD0A33">
      <w:pPr>
        <w:pStyle w:val="3"/>
        <w:spacing w:after="0"/>
        <w:jc w:val="center"/>
        <w:rPr>
          <w:sz w:val="28"/>
          <w:szCs w:val="28"/>
        </w:rPr>
      </w:pPr>
      <w:r w:rsidRPr="00431D6D">
        <w:rPr>
          <w:b/>
          <w:sz w:val="28"/>
          <w:szCs w:val="28"/>
        </w:rPr>
        <w:t>Освоение бюджетных средств и выполнение по целевым показателям в разрезе по годам</w:t>
      </w:r>
    </w:p>
    <w:tbl>
      <w:tblPr>
        <w:tblStyle w:val="a8"/>
        <w:tblW w:w="9652" w:type="dxa"/>
        <w:tblLook w:val="04A0" w:firstRow="1" w:lastRow="0" w:firstColumn="1" w:lastColumn="0" w:noHBand="0" w:noVBand="1"/>
      </w:tblPr>
      <w:tblGrid>
        <w:gridCol w:w="1544"/>
        <w:gridCol w:w="1991"/>
        <w:gridCol w:w="2272"/>
        <w:gridCol w:w="1853"/>
        <w:gridCol w:w="1992"/>
      </w:tblGrid>
      <w:tr w:rsidR="00CD0A33" w:rsidRPr="00431D6D" w:rsidTr="00BB7E14">
        <w:trPr>
          <w:trHeight w:val="1628"/>
        </w:trPr>
        <w:tc>
          <w:tcPr>
            <w:tcW w:w="1544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Отчетный год</w:t>
            </w:r>
          </w:p>
        </w:tc>
        <w:tc>
          <w:tcPr>
            <w:tcW w:w="1991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Объем бюджетных ассигнований на реализацию,         тыс. руб.</w:t>
            </w:r>
          </w:p>
        </w:tc>
        <w:tc>
          <w:tcPr>
            <w:tcW w:w="2272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Фактические объемы бюджетных ассигнований на реализацию муниципальной программы,  тыс. руб.</w:t>
            </w:r>
          </w:p>
        </w:tc>
        <w:tc>
          <w:tcPr>
            <w:tcW w:w="1853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 xml:space="preserve">Процент исполнения </w:t>
            </w:r>
          </w:p>
        </w:tc>
        <w:tc>
          <w:tcPr>
            <w:tcW w:w="1992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431D6D">
              <w:rPr>
                <w:sz w:val="21"/>
                <w:szCs w:val="21"/>
              </w:rPr>
              <w:t>Выполнение по целевым показателям</w:t>
            </w:r>
          </w:p>
        </w:tc>
      </w:tr>
      <w:tr w:rsidR="00CD0A33" w:rsidRPr="00431D6D" w:rsidTr="00BB7E14">
        <w:trPr>
          <w:trHeight w:val="404"/>
        </w:trPr>
        <w:tc>
          <w:tcPr>
            <w:tcW w:w="1544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2014</w:t>
            </w:r>
          </w:p>
        </w:tc>
        <w:tc>
          <w:tcPr>
            <w:tcW w:w="1991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4286,7</w:t>
            </w:r>
          </w:p>
        </w:tc>
        <w:tc>
          <w:tcPr>
            <w:tcW w:w="2272" w:type="dxa"/>
          </w:tcPr>
          <w:p w:rsidR="00CD0A33" w:rsidRPr="00431D6D" w:rsidRDefault="00CD0A33" w:rsidP="00CD0A3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4188,0</w:t>
            </w:r>
          </w:p>
        </w:tc>
        <w:tc>
          <w:tcPr>
            <w:tcW w:w="1853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97,7%</w:t>
            </w:r>
          </w:p>
        </w:tc>
        <w:tc>
          <w:tcPr>
            <w:tcW w:w="1992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100%</w:t>
            </w:r>
          </w:p>
        </w:tc>
      </w:tr>
      <w:tr w:rsidR="00CD0A33" w:rsidRPr="00431D6D" w:rsidTr="00BB7E14">
        <w:trPr>
          <w:trHeight w:val="404"/>
        </w:trPr>
        <w:tc>
          <w:tcPr>
            <w:tcW w:w="1544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2015</w:t>
            </w:r>
          </w:p>
        </w:tc>
        <w:tc>
          <w:tcPr>
            <w:tcW w:w="1991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5446,2</w:t>
            </w:r>
          </w:p>
        </w:tc>
        <w:tc>
          <w:tcPr>
            <w:tcW w:w="2272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3468,8</w:t>
            </w:r>
          </w:p>
        </w:tc>
        <w:tc>
          <w:tcPr>
            <w:tcW w:w="1853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63,7%</w:t>
            </w:r>
          </w:p>
        </w:tc>
        <w:tc>
          <w:tcPr>
            <w:tcW w:w="1992" w:type="dxa"/>
          </w:tcPr>
          <w:p w:rsidR="00CD0A33" w:rsidRPr="00431D6D" w:rsidRDefault="00CD0A33" w:rsidP="00CD0A3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D0A33" w:rsidRPr="00431D6D" w:rsidTr="00BB7E14">
        <w:trPr>
          <w:trHeight w:val="426"/>
        </w:trPr>
        <w:tc>
          <w:tcPr>
            <w:tcW w:w="1544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31D6D">
              <w:rPr>
                <w:sz w:val="24"/>
                <w:szCs w:val="24"/>
              </w:rPr>
              <w:t>2016</w:t>
            </w:r>
          </w:p>
        </w:tc>
        <w:tc>
          <w:tcPr>
            <w:tcW w:w="1991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5358,6</w:t>
            </w:r>
          </w:p>
        </w:tc>
        <w:tc>
          <w:tcPr>
            <w:tcW w:w="2272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5163,9</w:t>
            </w:r>
          </w:p>
        </w:tc>
        <w:tc>
          <w:tcPr>
            <w:tcW w:w="1853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96,4%</w:t>
            </w:r>
          </w:p>
        </w:tc>
        <w:tc>
          <w:tcPr>
            <w:tcW w:w="1992" w:type="dxa"/>
          </w:tcPr>
          <w:p w:rsidR="00CD0A33" w:rsidRPr="00431D6D" w:rsidRDefault="00CD0A33" w:rsidP="00BB7E1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102,2%</w:t>
            </w:r>
          </w:p>
        </w:tc>
      </w:tr>
    </w:tbl>
    <w:p w:rsidR="00D019B0" w:rsidRPr="00CD0A33" w:rsidRDefault="00D019B0" w:rsidP="00D019B0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</w:p>
    <w:p w:rsidR="000A5105" w:rsidRPr="00CD0A33" w:rsidRDefault="00CD0A33" w:rsidP="00CD0A3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D0A33">
        <w:rPr>
          <w:bCs/>
          <w:sz w:val="24"/>
          <w:szCs w:val="24"/>
        </w:rPr>
        <w:t xml:space="preserve">Общий объем финансирования мероприятий программы составил </w:t>
      </w:r>
      <w:r>
        <w:rPr>
          <w:bCs/>
          <w:sz w:val="24"/>
          <w:szCs w:val="24"/>
        </w:rPr>
        <w:t>12 820,7</w:t>
      </w:r>
      <w:r w:rsidRPr="00CD0A33">
        <w:rPr>
          <w:bCs/>
          <w:sz w:val="24"/>
          <w:szCs w:val="24"/>
        </w:rPr>
        <w:t xml:space="preserve"> тыс. руб., что составляет </w:t>
      </w:r>
      <w:r>
        <w:rPr>
          <w:bCs/>
          <w:sz w:val="24"/>
          <w:szCs w:val="24"/>
        </w:rPr>
        <w:t>86</w:t>
      </w:r>
      <w:r w:rsidRPr="00CD0A33">
        <w:rPr>
          <w:bCs/>
          <w:sz w:val="24"/>
          <w:szCs w:val="24"/>
        </w:rPr>
        <w:t xml:space="preserve">% от утвержденных годовых лимитов. </w:t>
      </w:r>
      <w:r>
        <w:rPr>
          <w:sz w:val="24"/>
          <w:szCs w:val="24"/>
        </w:rPr>
        <w:t xml:space="preserve">Остаток бюджетных средств в 2014 года за счет переноса срока окончательного расчета по электроэнергии. </w:t>
      </w:r>
      <w:r w:rsidRPr="003E1AA8">
        <w:rPr>
          <w:sz w:val="24"/>
          <w:szCs w:val="24"/>
        </w:rPr>
        <w:t xml:space="preserve">Экономия </w:t>
      </w:r>
      <w:r>
        <w:rPr>
          <w:sz w:val="24"/>
          <w:szCs w:val="24"/>
        </w:rPr>
        <w:t xml:space="preserve">в 2015 году </w:t>
      </w:r>
      <w:r w:rsidRPr="003E1AA8">
        <w:rPr>
          <w:sz w:val="24"/>
          <w:szCs w:val="24"/>
        </w:rPr>
        <w:t>в размере 13,4 тыс. руб. сложилась в части оплаты уличного освещения (за счет потребления меньшего количества электроэнергии)</w:t>
      </w:r>
      <w:r>
        <w:rPr>
          <w:sz w:val="24"/>
          <w:szCs w:val="24"/>
        </w:rPr>
        <w:t xml:space="preserve"> и в части перечисления взносов для проведения капитального ремонта общего имущества в многоквартирных домах сельского поселения (в размере 75,1 тыс. руб.). </w:t>
      </w:r>
      <w:r w:rsidRPr="003E1AA8">
        <w:rPr>
          <w:sz w:val="24"/>
          <w:szCs w:val="24"/>
        </w:rPr>
        <w:t>Так же, экономия возникла при проведении прочих мероприятий по благоустройству сельского поселения Сосновка в размере 1 888,9 тыс. руб. в результате проведения торгов на закупку сценического комп</w:t>
      </w:r>
      <w:r>
        <w:rPr>
          <w:sz w:val="24"/>
          <w:szCs w:val="24"/>
        </w:rPr>
        <w:t xml:space="preserve">лекса, бордюрного камня, тротуарной плитки. Не освоение средств в 2016 году </w:t>
      </w:r>
      <w:r w:rsidRPr="00CD0A33">
        <w:rPr>
          <w:sz w:val="24"/>
          <w:szCs w:val="24"/>
        </w:rPr>
        <w:t xml:space="preserve">в связи </w:t>
      </w:r>
      <w:r w:rsidR="00D019B0" w:rsidRPr="00CD0A33">
        <w:rPr>
          <w:sz w:val="24"/>
          <w:szCs w:val="24"/>
        </w:rPr>
        <w:t>с  вводом  жилых домов в эксплуатацию в зимний период, и переносом сроком  благоустройства территорий на весенн</w:t>
      </w:r>
      <w:proofErr w:type="gramStart"/>
      <w:r w:rsidR="00D019B0" w:rsidRPr="00CD0A33">
        <w:rPr>
          <w:sz w:val="24"/>
          <w:szCs w:val="24"/>
        </w:rPr>
        <w:t>е-</w:t>
      </w:r>
      <w:proofErr w:type="gramEnd"/>
      <w:r w:rsidR="00D019B0" w:rsidRPr="00CD0A33">
        <w:rPr>
          <w:sz w:val="24"/>
          <w:szCs w:val="24"/>
        </w:rPr>
        <w:t xml:space="preserve"> летний период 2017 года.</w:t>
      </w:r>
    </w:p>
    <w:p w:rsidR="000A5105" w:rsidRDefault="000A5105" w:rsidP="00F40A8D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DB5FD7" w:rsidRDefault="00DB5FD7" w:rsidP="00F40A8D">
      <w:pPr>
        <w:pStyle w:val="3"/>
        <w:tabs>
          <w:tab w:val="left" w:pos="993"/>
        </w:tabs>
        <w:spacing w:after="0"/>
        <w:ind w:left="0" w:firstLine="709"/>
        <w:jc w:val="both"/>
        <w:rPr>
          <w:b/>
          <w:sz w:val="24"/>
          <w:szCs w:val="24"/>
        </w:rPr>
      </w:pPr>
      <w:r w:rsidRPr="00E77378">
        <w:rPr>
          <w:b/>
          <w:sz w:val="24"/>
          <w:szCs w:val="24"/>
        </w:rPr>
        <w:t xml:space="preserve">Данная муниципальная программа сельского поселения </w:t>
      </w:r>
      <w:r>
        <w:rPr>
          <w:b/>
          <w:sz w:val="24"/>
          <w:szCs w:val="24"/>
        </w:rPr>
        <w:t>признана эффективной</w:t>
      </w:r>
      <w:r w:rsidRPr="00E77378">
        <w:rPr>
          <w:b/>
          <w:sz w:val="24"/>
          <w:szCs w:val="24"/>
        </w:rPr>
        <w:t xml:space="preserve"> и имеет оценку «</w:t>
      </w:r>
      <w:r w:rsidR="0036703E">
        <w:rPr>
          <w:b/>
          <w:sz w:val="24"/>
          <w:szCs w:val="24"/>
        </w:rPr>
        <w:t>удовлетворительно</w:t>
      </w:r>
      <w:r w:rsidRPr="00E77378">
        <w:rPr>
          <w:b/>
          <w:sz w:val="24"/>
          <w:szCs w:val="24"/>
        </w:rPr>
        <w:t>».</w:t>
      </w:r>
      <w:r>
        <w:rPr>
          <w:b/>
          <w:sz w:val="24"/>
          <w:szCs w:val="24"/>
        </w:rPr>
        <w:t xml:space="preserve"> </w:t>
      </w:r>
      <w:r w:rsidR="0036703E">
        <w:rPr>
          <w:b/>
          <w:sz w:val="24"/>
          <w:szCs w:val="24"/>
        </w:rPr>
        <w:t>О</w:t>
      </w:r>
      <w:r w:rsidRPr="00DB5FD7">
        <w:rPr>
          <w:b/>
          <w:sz w:val="24"/>
          <w:szCs w:val="24"/>
        </w:rPr>
        <w:t>тветственному исполнителю муниципальной программы – админис</w:t>
      </w:r>
      <w:r>
        <w:rPr>
          <w:b/>
          <w:sz w:val="24"/>
          <w:szCs w:val="24"/>
        </w:rPr>
        <w:t>трации сельского поселения Сосновка</w:t>
      </w:r>
      <w:r w:rsidRPr="00DB5FD7">
        <w:rPr>
          <w:b/>
          <w:sz w:val="24"/>
          <w:szCs w:val="24"/>
        </w:rPr>
        <w:t>, необходимо тщательнее планировать объемы бюджетных ассигнований на реализацию мероприятий.</w:t>
      </w:r>
    </w:p>
    <w:p w:rsidR="00DB5FD7" w:rsidRPr="00F40A8D" w:rsidRDefault="00DB5FD7" w:rsidP="00F40A8D">
      <w:pPr>
        <w:pStyle w:val="3"/>
        <w:tabs>
          <w:tab w:val="left" w:pos="993"/>
        </w:tabs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252EF8" w:rsidRDefault="00252EF8" w:rsidP="00252EF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A2079">
        <w:rPr>
          <w:sz w:val="24"/>
          <w:szCs w:val="24"/>
        </w:rPr>
        <w:t xml:space="preserve">По муниципальной программе сельского поселения </w:t>
      </w:r>
      <w:r w:rsidR="005A6D61">
        <w:rPr>
          <w:sz w:val="24"/>
          <w:szCs w:val="24"/>
        </w:rPr>
        <w:t>Сосновка</w:t>
      </w:r>
      <w:r w:rsidRPr="007A2079">
        <w:rPr>
          <w:b/>
          <w:sz w:val="24"/>
          <w:szCs w:val="24"/>
        </w:rPr>
        <w:t xml:space="preserve"> </w:t>
      </w:r>
      <w:r w:rsidRPr="007A2079">
        <w:rPr>
          <w:b/>
          <w:sz w:val="28"/>
          <w:szCs w:val="28"/>
          <w:u w:val="single"/>
        </w:rPr>
        <w:t xml:space="preserve">«Развитие муниципальной службы сельского поселения </w:t>
      </w:r>
      <w:r w:rsidR="005A6D61">
        <w:rPr>
          <w:b/>
          <w:sz w:val="28"/>
          <w:szCs w:val="28"/>
          <w:u w:val="single"/>
        </w:rPr>
        <w:t>Сосновка</w:t>
      </w:r>
      <w:r w:rsidRPr="007A2079">
        <w:rPr>
          <w:b/>
          <w:sz w:val="28"/>
          <w:szCs w:val="28"/>
          <w:u w:val="single"/>
        </w:rPr>
        <w:t xml:space="preserve"> на 2014-2016 годы»</w:t>
      </w:r>
      <w:r w:rsidRPr="000A0D2A">
        <w:rPr>
          <w:b/>
          <w:sz w:val="28"/>
          <w:szCs w:val="28"/>
        </w:rPr>
        <w:t xml:space="preserve"> </w:t>
      </w:r>
      <w:r w:rsidRPr="00B53EED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>действия</w:t>
      </w:r>
      <w:r w:rsidRPr="00B53EED">
        <w:rPr>
          <w:sz w:val="24"/>
          <w:szCs w:val="24"/>
        </w:rPr>
        <w:t xml:space="preserve"> кассовое исполнение составило </w:t>
      </w:r>
      <w:r>
        <w:rPr>
          <w:sz w:val="24"/>
          <w:szCs w:val="24"/>
        </w:rPr>
        <w:t>100</w:t>
      </w:r>
      <w:r w:rsidRPr="00B53EED">
        <w:rPr>
          <w:sz w:val="24"/>
          <w:szCs w:val="24"/>
        </w:rPr>
        <w:t xml:space="preserve">% при достижении целевых показателей на </w:t>
      </w:r>
      <w:r w:rsidRPr="0010023B">
        <w:rPr>
          <w:sz w:val="24"/>
          <w:szCs w:val="24"/>
        </w:rPr>
        <w:t xml:space="preserve">уровне </w:t>
      </w:r>
      <w:r>
        <w:rPr>
          <w:sz w:val="24"/>
          <w:szCs w:val="24"/>
        </w:rPr>
        <w:t>100</w:t>
      </w:r>
      <w:r w:rsidRPr="0010023B">
        <w:rPr>
          <w:sz w:val="24"/>
          <w:szCs w:val="24"/>
        </w:rPr>
        <w:t>%</w:t>
      </w:r>
    </w:p>
    <w:p w:rsidR="00252EF8" w:rsidRDefault="00252EF8" w:rsidP="00252EF8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2125BF" w:rsidRDefault="000A5105" w:rsidP="000A510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B39C7">
        <w:rPr>
          <w:sz w:val="24"/>
          <w:szCs w:val="24"/>
        </w:rPr>
        <w:t xml:space="preserve">В рамках муниципальной программы были предусмотрены денежные средства на </w:t>
      </w:r>
      <w:r>
        <w:rPr>
          <w:sz w:val="24"/>
          <w:szCs w:val="24"/>
        </w:rPr>
        <w:t xml:space="preserve">повышение квалификации и </w:t>
      </w:r>
      <w:r w:rsidRPr="005B39C7">
        <w:rPr>
          <w:sz w:val="24"/>
          <w:szCs w:val="24"/>
        </w:rPr>
        <w:t xml:space="preserve">проведение диспансеризации муниципальных служащих. Так за 2014 год соответствующими медицинскими услугами </w:t>
      </w:r>
      <w:r>
        <w:rPr>
          <w:sz w:val="24"/>
          <w:szCs w:val="24"/>
        </w:rPr>
        <w:t xml:space="preserve">на базе БУ ХМАО-Югры «Белоярская районная больница» </w:t>
      </w:r>
      <w:r w:rsidRPr="005B39C7">
        <w:rPr>
          <w:sz w:val="24"/>
          <w:szCs w:val="24"/>
        </w:rPr>
        <w:t>были охвачены 5 муниципальных служащих или 100% от</w:t>
      </w:r>
      <w:r w:rsidR="005A6D61">
        <w:rPr>
          <w:sz w:val="24"/>
          <w:szCs w:val="24"/>
        </w:rPr>
        <w:t xml:space="preserve"> запланированных показателей.</w:t>
      </w:r>
    </w:p>
    <w:p w:rsidR="005A6D61" w:rsidRDefault="005A6D61" w:rsidP="000A5105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0A5105" w:rsidRDefault="00252EF8" w:rsidP="000A5105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4905375" cy="31051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2EF8" w:rsidRDefault="00252EF8" w:rsidP="000A5105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252EF8">
        <w:rPr>
          <w:b/>
          <w:sz w:val="24"/>
          <w:szCs w:val="24"/>
        </w:rPr>
        <w:t xml:space="preserve">Выполнение целевых показателей, кассовое исполнение по годам, </w:t>
      </w:r>
      <w:proofErr w:type="gramStart"/>
      <w:r w:rsidRPr="00252EF8">
        <w:rPr>
          <w:b/>
          <w:sz w:val="24"/>
          <w:szCs w:val="24"/>
        </w:rPr>
        <w:t>в</w:t>
      </w:r>
      <w:proofErr w:type="gramEnd"/>
      <w:r w:rsidRPr="00252EF8">
        <w:rPr>
          <w:b/>
          <w:sz w:val="24"/>
          <w:szCs w:val="24"/>
        </w:rPr>
        <w:t xml:space="preserve"> %%</w:t>
      </w:r>
    </w:p>
    <w:p w:rsidR="00252EF8" w:rsidRPr="00252EF8" w:rsidRDefault="00252EF8" w:rsidP="000A5105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2125BF" w:rsidRPr="0057578B" w:rsidRDefault="00EC754E" w:rsidP="00F40A8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7578B">
        <w:rPr>
          <w:sz w:val="24"/>
          <w:szCs w:val="24"/>
        </w:rPr>
        <w:t xml:space="preserve">Цель программы: </w:t>
      </w:r>
      <w:r w:rsidR="005B39C7" w:rsidRPr="0057578B">
        <w:rPr>
          <w:sz w:val="24"/>
          <w:szCs w:val="24"/>
        </w:rPr>
        <w:t>создание условий для развития и совершенствования муниципальной службы в сельском поселении Сосновка и повышение эффективности муниципального управления</w:t>
      </w:r>
      <w:r w:rsidRPr="0057578B">
        <w:rPr>
          <w:sz w:val="24"/>
          <w:szCs w:val="24"/>
        </w:rPr>
        <w:t>.</w:t>
      </w:r>
    </w:p>
    <w:p w:rsidR="00131B57" w:rsidRDefault="00C65E0C" w:rsidP="00C65E0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За время реализации муниципальной программы </w:t>
      </w:r>
      <w:r w:rsidR="0057578B">
        <w:t>муниципальны</w:t>
      </w:r>
      <w:r>
        <w:t>е</w:t>
      </w:r>
      <w:r w:rsidR="0057578B">
        <w:t xml:space="preserve"> служащи</w:t>
      </w:r>
      <w:r>
        <w:t>е прошли</w:t>
      </w:r>
      <w:r w:rsidR="0057578B" w:rsidRPr="0057578B">
        <w:t xml:space="preserve"> </w:t>
      </w:r>
      <w:r w:rsidRPr="0057578B">
        <w:t>курсы повышения квалификации с получением удостоверени</w:t>
      </w:r>
      <w:r>
        <w:t xml:space="preserve">я установленного образца; а так же все муниципальные служащие были охвачены </w:t>
      </w:r>
      <w:r w:rsidR="0057578B" w:rsidRPr="0057578B">
        <w:t>диспансеризаци</w:t>
      </w:r>
      <w:r>
        <w:t>и ежегодно</w:t>
      </w:r>
      <w:r w:rsidR="0057578B" w:rsidRPr="0057578B">
        <w:t xml:space="preserve">. </w:t>
      </w:r>
    </w:p>
    <w:p w:rsidR="000A5105" w:rsidRPr="00F40A8D" w:rsidRDefault="000A5105" w:rsidP="00F40A8D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711F30" w:rsidRPr="00711F30" w:rsidRDefault="00711F30" w:rsidP="004B39CB">
      <w:pPr>
        <w:widowControl w:val="0"/>
        <w:suppressAutoHyphens/>
        <w:ind w:firstLine="709"/>
        <w:jc w:val="both"/>
        <w:rPr>
          <w:rFonts w:eastAsia="Calibri"/>
          <w:b/>
          <w:kern w:val="2"/>
          <w:lang w:eastAsia="en-US"/>
        </w:rPr>
      </w:pPr>
      <w:r w:rsidRPr="00711F30">
        <w:rPr>
          <w:rFonts w:eastAsia="Calibri"/>
          <w:b/>
          <w:kern w:val="2"/>
          <w:lang w:eastAsia="en-US"/>
        </w:rPr>
        <w:t>Данная муниципальная программа сельского поселения признана эффективной</w:t>
      </w:r>
      <w:r w:rsidR="004B39CB">
        <w:rPr>
          <w:rFonts w:eastAsia="Calibri"/>
          <w:b/>
          <w:kern w:val="2"/>
          <w:lang w:eastAsia="en-US"/>
        </w:rPr>
        <w:t xml:space="preserve">, поставлена оценка </w:t>
      </w:r>
      <w:r w:rsidRPr="00711F30">
        <w:rPr>
          <w:rFonts w:eastAsia="Calibri"/>
          <w:b/>
          <w:kern w:val="2"/>
          <w:lang w:eastAsia="en-US"/>
        </w:rPr>
        <w:t>«отлично». Реализация предусмотренных мероприятий, позволяет создать условия для оптимального организационно-правового обеспечения   муниципальной с</w:t>
      </w:r>
      <w:r>
        <w:rPr>
          <w:rFonts w:eastAsia="Calibri"/>
          <w:b/>
          <w:kern w:val="2"/>
          <w:lang w:eastAsia="en-US"/>
        </w:rPr>
        <w:t>лужбы  сельского поселения Сосновка</w:t>
      </w:r>
      <w:r w:rsidRPr="00711F30">
        <w:rPr>
          <w:rFonts w:eastAsia="Calibri"/>
          <w:b/>
          <w:kern w:val="2"/>
          <w:lang w:eastAsia="en-US"/>
        </w:rPr>
        <w:t>.</w:t>
      </w:r>
    </w:p>
    <w:p w:rsidR="00CD4CFF" w:rsidRDefault="00CD4CFF" w:rsidP="00F40A8D">
      <w:pPr>
        <w:pStyle w:val="3"/>
        <w:spacing w:after="0"/>
        <w:ind w:left="0" w:firstLine="709"/>
        <w:jc w:val="both"/>
        <w:rPr>
          <w:b/>
          <w:color w:val="FF0000"/>
          <w:sz w:val="24"/>
          <w:szCs w:val="24"/>
        </w:rPr>
      </w:pPr>
      <w:bookmarkStart w:id="0" w:name="_GoBack"/>
      <w:bookmarkEnd w:id="0"/>
    </w:p>
    <w:p w:rsidR="004B39CB" w:rsidRDefault="004B39CB" w:rsidP="00F40A8D">
      <w:pPr>
        <w:pStyle w:val="3"/>
        <w:spacing w:after="0"/>
        <w:ind w:left="0" w:firstLine="709"/>
        <w:jc w:val="both"/>
        <w:rPr>
          <w:b/>
          <w:color w:val="FF0000"/>
          <w:sz w:val="24"/>
          <w:szCs w:val="24"/>
        </w:rPr>
      </w:pPr>
    </w:p>
    <w:p w:rsidR="004B39CB" w:rsidRPr="00D01624" w:rsidRDefault="004B39CB" w:rsidP="004B39CB">
      <w:pPr>
        <w:pStyle w:val="3"/>
        <w:tabs>
          <w:tab w:val="left" w:pos="1680"/>
        </w:tabs>
        <w:ind w:left="0"/>
        <w:jc w:val="both"/>
        <w:rPr>
          <w:b/>
          <w:sz w:val="24"/>
          <w:szCs w:val="24"/>
        </w:rPr>
      </w:pPr>
      <w:r w:rsidRPr="00D01624">
        <w:rPr>
          <w:b/>
          <w:sz w:val="24"/>
          <w:szCs w:val="24"/>
        </w:rPr>
        <w:t xml:space="preserve">            В целях соблюдения рекомендаций по итогам оценки эффективности муниципальных программ поселения за 2015 год, в отчетном периоде органам местного самоуправления поселения была разработана и утверждена единая муниципальная программа поселения по реализации полномочий органов местного самоуправления поселения с выделением основных мероприятий по соответствующим сферам на </w:t>
      </w:r>
      <w:r>
        <w:rPr>
          <w:b/>
          <w:sz w:val="24"/>
          <w:szCs w:val="24"/>
        </w:rPr>
        <w:t xml:space="preserve">период </w:t>
      </w:r>
      <w:r w:rsidRPr="00D01624">
        <w:rPr>
          <w:b/>
          <w:sz w:val="24"/>
          <w:szCs w:val="24"/>
        </w:rPr>
        <w:t>2017-2019 годы</w:t>
      </w:r>
      <w:r w:rsidRPr="00D01624">
        <w:rPr>
          <w:b/>
          <w:color w:val="0000FF"/>
          <w:sz w:val="24"/>
          <w:szCs w:val="24"/>
        </w:rPr>
        <w:t xml:space="preserve">. </w:t>
      </w:r>
      <w:r w:rsidRPr="00D01624">
        <w:rPr>
          <w:b/>
          <w:sz w:val="24"/>
          <w:szCs w:val="24"/>
        </w:rPr>
        <w:t xml:space="preserve">  </w:t>
      </w:r>
    </w:p>
    <w:p w:rsidR="004B39CB" w:rsidRDefault="004B39CB" w:rsidP="00F40A8D">
      <w:pPr>
        <w:pStyle w:val="3"/>
        <w:spacing w:after="0"/>
        <w:ind w:left="0" w:firstLine="709"/>
        <w:jc w:val="both"/>
        <w:rPr>
          <w:b/>
          <w:color w:val="FF0000"/>
          <w:sz w:val="24"/>
          <w:szCs w:val="24"/>
        </w:rPr>
      </w:pPr>
    </w:p>
    <w:p w:rsidR="004B39CB" w:rsidRPr="00D01624" w:rsidRDefault="004B39CB" w:rsidP="004B39CB">
      <w:pPr>
        <w:pStyle w:val="3"/>
        <w:tabs>
          <w:tab w:val="left" w:pos="1680"/>
        </w:tabs>
        <w:spacing w:after="0"/>
        <w:ind w:left="0"/>
        <w:jc w:val="both"/>
        <w:rPr>
          <w:sz w:val="24"/>
          <w:szCs w:val="24"/>
        </w:rPr>
      </w:pPr>
      <w:r w:rsidRPr="00D01624">
        <w:rPr>
          <w:sz w:val="24"/>
          <w:szCs w:val="24"/>
        </w:rPr>
        <w:t>Начальник управления экономики,</w:t>
      </w:r>
    </w:p>
    <w:p w:rsidR="004B39CB" w:rsidRPr="00D01624" w:rsidRDefault="004B39CB" w:rsidP="004B39CB">
      <w:pPr>
        <w:rPr>
          <w:rFonts w:eastAsia="Calibri"/>
          <w:kern w:val="1"/>
          <w:lang w:eastAsia="en-US"/>
        </w:rPr>
      </w:pPr>
      <w:r w:rsidRPr="00D01624">
        <w:rPr>
          <w:rFonts w:eastAsia="Calibri"/>
          <w:kern w:val="1"/>
          <w:lang w:eastAsia="en-US"/>
        </w:rPr>
        <w:t>реформ и программ  администрации</w:t>
      </w:r>
    </w:p>
    <w:p w:rsidR="004B39CB" w:rsidRPr="00D01624" w:rsidRDefault="004B39CB" w:rsidP="004B39CB">
      <w:pPr>
        <w:rPr>
          <w:rFonts w:eastAsia="Calibri"/>
          <w:kern w:val="1"/>
          <w:lang w:eastAsia="en-US"/>
        </w:rPr>
      </w:pPr>
      <w:r w:rsidRPr="00D01624">
        <w:rPr>
          <w:rFonts w:eastAsia="Calibri"/>
          <w:kern w:val="1"/>
          <w:lang w:eastAsia="en-US"/>
        </w:rPr>
        <w:t xml:space="preserve">Белоярского района                                                                                              </w:t>
      </w:r>
      <w:proofErr w:type="spellStart"/>
      <w:r w:rsidRPr="00D01624">
        <w:rPr>
          <w:rFonts w:eastAsia="Calibri"/>
          <w:kern w:val="1"/>
          <w:lang w:eastAsia="en-US"/>
        </w:rPr>
        <w:t>Л.М.Бурматова</w:t>
      </w:r>
      <w:proofErr w:type="spellEnd"/>
    </w:p>
    <w:p w:rsidR="004B39CB" w:rsidRPr="00D01624" w:rsidRDefault="004B39CB" w:rsidP="004B39CB">
      <w:pPr>
        <w:rPr>
          <w:rFonts w:eastAsia="Calibri"/>
          <w:kern w:val="1"/>
          <w:lang w:eastAsia="en-US"/>
        </w:rPr>
      </w:pPr>
    </w:p>
    <w:p w:rsidR="004B39CB" w:rsidRDefault="004B39CB" w:rsidP="004B39CB">
      <w:pPr>
        <w:rPr>
          <w:rFonts w:eastAsia="Calibri"/>
          <w:kern w:val="1"/>
          <w:lang w:eastAsia="en-US"/>
        </w:rPr>
      </w:pPr>
    </w:p>
    <w:p w:rsidR="004B39CB" w:rsidRDefault="004B39CB" w:rsidP="004B39CB">
      <w:pPr>
        <w:rPr>
          <w:rFonts w:eastAsia="Calibri"/>
          <w:kern w:val="1"/>
          <w:lang w:eastAsia="en-US"/>
        </w:rPr>
      </w:pPr>
    </w:p>
    <w:p w:rsidR="004B39CB" w:rsidRDefault="004B39CB" w:rsidP="004B39CB">
      <w:pPr>
        <w:tabs>
          <w:tab w:val="left" w:pos="1065"/>
        </w:tabs>
        <w:rPr>
          <w:rFonts w:eastAsia="Calibri"/>
          <w:kern w:val="1"/>
          <w:lang w:eastAsia="en-US"/>
        </w:rPr>
      </w:pPr>
      <w:r>
        <w:rPr>
          <w:rFonts w:eastAsia="Calibri"/>
          <w:kern w:val="1"/>
          <w:lang w:eastAsia="en-US"/>
        </w:rPr>
        <w:tab/>
      </w:r>
    </w:p>
    <w:p w:rsidR="004B39CB" w:rsidRDefault="004B39CB" w:rsidP="004B39CB">
      <w:pPr>
        <w:rPr>
          <w:rFonts w:eastAsia="Calibri"/>
          <w:kern w:val="1"/>
          <w:lang w:eastAsia="en-US"/>
        </w:rPr>
      </w:pPr>
    </w:p>
    <w:p w:rsidR="004B39CB" w:rsidRDefault="004B39CB" w:rsidP="004B39CB">
      <w:pPr>
        <w:rPr>
          <w:rFonts w:eastAsia="Calibri"/>
          <w:kern w:val="1"/>
          <w:lang w:eastAsia="en-US"/>
        </w:rPr>
      </w:pPr>
    </w:p>
    <w:p w:rsidR="004B39CB" w:rsidRDefault="004B39CB" w:rsidP="004B39CB">
      <w:pPr>
        <w:rPr>
          <w:rFonts w:eastAsia="Calibri"/>
          <w:kern w:val="1"/>
          <w:lang w:eastAsia="en-US"/>
        </w:rPr>
      </w:pPr>
    </w:p>
    <w:p w:rsidR="004B39CB" w:rsidRPr="00761003" w:rsidRDefault="004B39CB" w:rsidP="004B39CB">
      <w:pPr>
        <w:rPr>
          <w:rFonts w:eastAsia="Calibri"/>
          <w:kern w:val="1"/>
          <w:lang w:eastAsia="en-US"/>
        </w:rPr>
      </w:pPr>
    </w:p>
    <w:p w:rsidR="004B39CB" w:rsidRPr="00D01624" w:rsidRDefault="004B39CB" w:rsidP="004B39CB">
      <w:pPr>
        <w:rPr>
          <w:rFonts w:eastAsia="Calibri"/>
          <w:kern w:val="1"/>
          <w:sz w:val="18"/>
          <w:szCs w:val="18"/>
          <w:lang w:eastAsia="en-US"/>
        </w:rPr>
      </w:pPr>
      <w:r w:rsidRPr="00D01624">
        <w:rPr>
          <w:rFonts w:eastAsia="Calibri"/>
          <w:kern w:val="1"/>
          <w:sz w:val="18"/>
          <w:szCs w:val="18"/>
          <w:lang w:eastAsia="en-US"/>
        </w:rPr>
        <w:t xml:space="preserve">Исполнитель: Мезенцева Е.А. </w:t>
      </w:r>
    </w:p>
    <w:p w:rsidR="004B39CB" w:rsidRPr="00D01624" w:rsidRDefault="004B39CB" w:rsidP="004B39CB">
      <w:pPr>
        <w:rPr>
          <w:rFonts w:eastAsia="Calibri"/>
          <w:kern w:val="1"/>
          <w:sz w:val="18"/>
          <w:szCs w:val="18"/>
          <w:lang w:eastAsia="en-US"/>
        </w:rPr>
      </w:pPr>
      <w:r w:rsidRPr="00D01624">
        <w:rPr>
          <w:rFonts w:eastAsia="Calibri"/>
          <w:kern w:val="1"/>
          <w:sz w:val="18"/>
          <w:szCs w:val="18"/>
          <w:lang w:eastAsia="en-US"/>
        </w:rPr>
        <w:t>тел. 2-06-10</w:t>
      </w:r>
    </w:p>
    <w:p w:rsidR="00C65E0C" w:rsidRPr="00F40A8D" w:rsidRDefault="00C65E0C" w:rsidP="00F40A8D">
      <w:pPr>
        <w:pStyle w:val="3"/>
        <w:spacing w:after="0"/>
        <w:ind w:left="0" w:firstLine="709"/>
        <w:jc w:val="both"/>
        <w:rPr>
          <w:b/>
          <w:color w:val="FF0000"/>
          <w:sz w:val="24"/>
          <w:szCs w:val="24"/>
        </w:rPr>
      </w:pPr>
    </w:p>
    <w:sectPr w:rsidR="00C65E0C" w:rsidRPr="00F40A8D" w:rsidSect="002A02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BEC"/>
    <w:multiLevelType w:val="hybridMultilevel"/>
    <w:tmpl w:val="340AE7FA"/>
    <w:lvl w:ilvl="0" w:tplc="041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DEC5A3B"/>
    <w:multiLevelType w:val="hybridMultilevel"/>
    <w:tmpl w:val="6464B6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811F4D"/>
    <w:multiLevelType w:val="hybridMultilevel"/>
    <w:tmpl w:val="0E10D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5C42C3"/>
    <w:multiLevelType w:val="hybridMultilevel"/>
    <w:tmpl w:val="E1B6B884"/>
    <w:lvl w:ilvl="0" w:tplc="041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3A03376F"/>
    <w:multiLevelType w:val="hybridMultilevel"/>
    <w:tmpl w:val="C5F83AB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CAB31F6"/>
    <w:multiLevelType w:val="hybridMultilevel"/>
    <w:tmpl w:val="5BC2B1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2B482C"/>
    <w:multiLevelType w:val="hybridMultilevel"/>
    <w:tmpl w:val="BCE424D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B1926D1"/>
    <w:multiLevelType w:val="hybridMultilevel"/>
    <w:tmpl w:val="EDF809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9664D4"/>
    <w:multiLevelType w:val="hybridMultilevel"/>
    <w:tmpl w:val="5002E2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3D53AB"/>
    <w:multiLevelType w:val="hybridMultilevel"/>
    <w:tmpl w:val="217609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C4130A"/>
    <w:multiLevelType w:val="hybridMultilevel"/>
    <w:tmpl w:val="B540ED1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14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67"/>
    <w:rsid w:val="00035279"/>
    <w:rsid w:val="00093404"/>
    <w:rsid w:val="000A0FAE"/>
    <w:rsid w:val="000A5105"/>
    <w:rsid w:val="000B372F"/>
    <w:rsid w:val="000B3A5C"/>
    <w:rsid w:val="000D1C95"/>
    <w:rsid w:val="000E6588"/>
    <w:rsid w:val="000E7F07"/>
    <w:rsid w:val="00131B57"/>
    <w:rsid w:val="00171427"/>
    <w:rsid w:val="001A0E31"/>
    <w:rsid w:val="001F03D7"/>
    <w:rsid w:val="001F5AA7"/>
    <w:rsid w:val="002063B4"/>
    <w:rsid w:val="002125BF"/>
    <w:rsid w:val="00252EF8"/>
    <w:rsid w:val="00254015"/>
    <w:rsid w:val="002A02E5"/>
    <w:rsid w:val="002F07DE"/>
    <w:rsid w:val="00311CBD"/>
    <w:rsid w:val="00325F4B"/>
    <w:rsid w:val="00353B58"/>
    <w:rsid w:val="00363649"/>
    <w:rsid w:val="00364D9F"/>
    <w:rsid w:val="0036703E"/>
    <w:rsid w:val="003B18E3"/>
    <w:rsid w:val="003E1AA8"/>
    <w:rsid w:val="003E5485"/>
    <w:rsid w:val="00405CBD"/>
    <w:rsid w:val="004105FA"/>
    <w:rsid w:val="00447801"/>
    <w:rsid w:val="004A3184"/>
    <w:rsid w:val="004B39CB"/>
    <w:rsid w:val="004E54F2"/>
    <w:rsid w:val="0051203F"/>
    <w:rsid w:val="00531D5A"/>
    <w:rsid w:val="00543590"/>
    <w:rsid w:val="0057578B"/>
    <w:rsid w:val="00575D0A"/>
    <w:rsid w:val="005A6D61"/>
    <w:rsid w:val="005B0ACF"/>
    <w:rsid w:val="005B39C7"/>
    <w:rsid w:val="0060348B"/>
    <w:rsid w:val="006038E9"/>
    <w:rsid w:val="00621704"/>
    <w:rsid w:val="00630C39"/>
    <w:rsid w:val="00645CF7"/>
    <w:rsid w:val="0065073C"/>
    <w:rsid w:val="00660A44"/>
    <w:rsid w:val="0070620B"/>
    <w:rsid w:val="00711F30"/>
    <w:rsid w:val="00723FA8"/>
    <w:rsid w:val="007244C3"/>
    <w:rsid w:val="007D5B68"/>
    <w:rsid w:val="00827AD6"/>
    <w:rsid w:val="0085100B"/>
    <w:rsid w:val="00860183"/>
    <w:rsid w:val="00881320"/>
    <w:rsid w:val="00890A8A"/>
    <w:rsid w:val="008D622C"/>
    <w:rsid w:val="00963984"/>
    <w:rsid w:val="00967B13"/>
    <w:rsid w:val="009824F6"/>
    <w:rsid w:val="009943B4"/>
    <w:rsid w:val="009972C2"/>
    <w:rsid w:val="009E440D"/>
    <w:rsid w:val="00A05A17"/>
    <w:rsid w:val="00A070E5"/>
    <w:rsid w:val="00A578DE"/>
    <w:rsid w:val="00A80A6B"/>
    <w:rsid w:val="00AC2177"/>
    <w:rsid w:val="00AF6068"/>
    <w:rsid w:val="00B12446"/>
    <w:rsid w:val="00B23EFD"/>
    <w:rsid w:val="00B23F69"/>
    <w:rsid w:val="00B316B4"/>
    <w:rsid w:val="00C65E0C"/>
    <w:rsid w:val="00C74903"/>
    <w:rsid w:val="00CA7AD9"/>
    <w:rsid w:val="00CD0A33"/>
    <w:rsid w:val="00CD4CFF"/>
    <w:rsid w:val="00CE5A40"/>
    <w:rsid w:val="00CF09A2"/>
    <w:rsid w:val="00D019B0"/>
    <w:rsid w:val="00D202F3"/>
    <w:rsid w:val="00D51A41"/>
    <w:rsid w:val="00D91BC1"/>
    <w:rsid w:val="00D93910"/>
    <w:rsid w:val="00DB1B5E"/>
    <w:rsid w:val="00DB5FD7"/>
    <w:rsid w:val="00DB6DE3"/>
    <w:rsid w:val="00DE4267"/>
    <w:rsid w:val="00E32514"/>
    <w:rsid w:val="00E54791"/>
    <w:rsid w:val="00E67088"/>
    <w:rsid w:val="00E921F5"/>
    <w:rsid w:val="00EC754E"/>
    <w:rsid w:val="00ED2861"/>
    <w:rsid w:val="00ED61D8"/>
    <w:rsid w:val="00EE65DB"/>
    <w:rsid w:val="00F00BF6"/>
    <w:rsid w:val="00F00E63"/>
    <w:rsid w:val="00F0599E"/>
    <w:rsid w:val="00F40A8D"/>
    <w:rsid w:val="00F440D1"/>
    <w:rsid w:val="00F44EE4"/>
    <w:rsid w:val="00F52742"/>
    <w:rsid w:val="00FA383E"/>
    <w:rsid w:val="00FB1703"/>
    <w:rsid w:val="00FB7AEE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a5">
    <w:name w:val="Заголовок"/>
    <w:basedOn w:val="a"/>
    <w:next w:val="a6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DE426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customStyle="1" w:styleId="ConsPlusNonformat">
    <w:name w:val="ConsPlusNonformat"/>
    <w:uiPriority w:val="99"/>
    <w:rsid w:val="00F00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0A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A51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1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6034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a5">
    <w:name w:val="Заголовок"/>
    <w:basedOn w:val="a"/>
    <w:next w:val="a6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DE426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customStyle="1" w:styleId="ConsPlusNonformat">
    <w:name w:val="ConsPlusNonformat"/>
    <w:uiPriority w:val="99"/>
    <w:rsid w:val="00F00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0A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A51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1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6034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admkazym.ru/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271930089198625E-2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148148148148147E-2"/>
          <c:y val="0.25376984126984126"/>
          <c:w val="0.59835757509477983"/>
          <c:h val="0.702579365079365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расходов сельского поселения Сосновка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Расходы включенные в состав программ</c:v>
                </c:pt>
                <c:pt idx="1">
                  <c:v>Расходы не включенные в состав программ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0.23300000000000001</c:v>
                </c:pt>
                <c:pt idx="1">
                  <c:v>0.76700000000000002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целевые показатели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89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795648"/>
        <c:axId val="246797440"/>
        <c:axId val="0"/>
      </c:bar3DChart>
      <c:catAx>
        <c:axId val="24679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797440"/>
        <c:crosses val="autoZero"/>
        <c:auto val="1"/>
        <c:lblAlgn val="ctr"/>
        <c:lblOffset val="100"/>
        <c:noMultiLvlLbl val="0"/>
      </c:catAx>
      <c:valAx>
        <c:axId val="246797440"/>
        <c:scaling>
          <c:orientation val="minMax"/>
          <c:max val="100"/>
          <c:min val="60"/>
        </c:scaling>
        <c:delete val="0"/>
        <c:axPos val="l"/>
        <c:numFmt formatCode="General" sourceLinked="1"/>
        <c:majorTickMark val="out"/>
        <c:minorTickMark val="none"/>
        <c:tickLblPos val="nextTo"/>
        <c:crossAx val="246795648"/>
        <c:crosses val="autoZero"/>
        <c:crossBetween val="between"/>
        <c:majorUnit val="10"/>
        <c:minorUnit val="0.4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4.8025871766029245E-2"/>
          <c:w val="0.63543908573928254"/>
          <c:h val="0.85653105861767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Целевые показатели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102.2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97.7</c:v>
                </c:pt>
                <c:pt idx="1">
                  <c:v>63.7</c:v>
                </c:pt>
                <c:pt idx="2">
                  <c:v>96.4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958720"/>
        <c:axId val="248254848"/>
        <c:axId val="0"/>
      </c:bar3DChart>
      <c:catAx>
        <c:axId val="24695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254848"/>
        <c:crosses val="autoZero"/>
        <c:auto val="1"/>
        <c:lblAlgn val="ctr"/>
        <c:lblOffset val="100"/>
        <c:noMultiLvlLbl val="0"/>
      </c:catAx>
      <c:valAx>
        <c:axId val="2482548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6958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411636045494315E-2"/>
          <c:y val="4.4057617797775277E-2"/>
          <c:w val="0.63543908573928254"/>
          <c:h val="0.85653105861767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Целевые показатели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8272768"/>
        <c:axId val="248274304"/>
        <c:axId val="0"/>
      </c:bar3DChart>
      <c:catAx>
        <c:axId val="24827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274304"/>
        <c:crosses val="autoZero"/>
        <c:auto val="1"/>
        <c:lblAlgn val="ctr"/>
        <c:lblOffset val="100"/>
        <c:noMultiLvlLbl val="0"/>
      </c:catAx>
      <c:valAx>
        <c:axId val="248274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8272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3969-7169-4973-8405-8B81C90A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Morgunova</cp:lastModifiedBy>
  <cp:revision>2</cp:revision>
  <dcterms:created xsi:type="dcterms:W3CDTF">2018-06-22T10:13:00Z</dcterms:created>
  <dcterms:modified xsi:type="dcterms:W3CDTF">2018-06-22T10:13:00Z</dcterms:modified>
</cp:coreProperties>
</file>